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32"/>
        </w:rPr>
        <w:id w:val="-1692059526"/>
        <w:docPartObj>
          <w:docPartGallery w:val="Cover Pages"/>
          <w:docPartUnique/>
        </w:docPartObj>
      </w:sdtPr>
      <w:sdtEndPr>
        <w:rPr>
          <w:rFonts w:eastAsiaTheme="minorEastAsia"/>
          <w:b/>
          <w:color w:val="000000"/>
          <w:sz w:val="28"/>
          <w:szCs w:val="24"/>
          <w:lang w:eastAsia="es-ES"/>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1D17B2" w:rsidTr="00031EDA">
            <w:trPr>
              <w:trHeight w:val="1440"/>
            </w:trPr>
            <w:tc>
              <w:tcPr>
                <w:tcW w:w="1440" w:type="dxa"/>
                <w:tcBorders>
                  <w:right w:val="single" w:sz="4" w:space="0" w:color="FFFFFF" w:themeColor="background1"/>
                </w:tcBorders>
                <w:shd w:val="clear" w:color="auto" w:fill="943634" w:themeFill="accent2" w:themeFillShade="BF"/>
              </w:tcPr>
              <w:p w:rsidR="001D17B2" w:rsidRPr="00A76EDE" w:rsidRDefault="001D17B2" w:rsidP="00031EDA">
                <w:pPr>
                  <w:rPr>
                    <w:rFonts w:ascii="Times New Roman" w:hAnsi="Times New Roman" w:cs="Times New Roman"/>
                    <w:sz w:val="32"/>
                  </w:rPr>
                </w:pPr>
              </w:p>
            </w:tc>
            <w:sdt>
              <w:sdtPr>
                <w:rPr>
                  <w:rFonts w:ascii="Times New Roman" w:eastAsiaTheme="majorEastAsia" w:hAnsi="Times New Roman" w:cs="Times New Roman"/>
                  <w:b/>
                  <w:bCs/>
                  <w:color w:val="FFFFFF" w:themeColor="background1"/>
                  <w:sz w:val="32"/>
                  <w:szCs w:val="72"/>
                </w:rPr>
                <w:alias w:val="Año"/>
                <w:id w:val="15676118"/>
                <w:dataBinding w:prefixMappings="xmlns:ns0='http://schemas.microsoft.com/office/2006/coverPageProps'" w:xpath="/ns0:CoverPageProperties[1]/ns0:PublishDate[1]" w:storeItemID="{55AF091B-3C7A-41E3-B477-F2FDAA23CFDA}"/>
                <w:date w:fullDate="2017-01-01T00:00:00Z">
                  <w:dateFormat w:val="yyyy"/>
                  <w:lid w:val="es-ES"/>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1D17B2" w:rsidRPr="00A76EDE" w:rsidRDefault="001D17B2" w:rsidP="001D17B2">
                    <w:pPr>
                      <w:pStyle w:val="Sinespaciado"/>
                      <w:rPr>
                        <w:rFonts w:ascii="Times New Roman" w:eastAsiaTheme="majorEastAsia" w:hAnsi="Times New Roman" w:cs="Times New Roman"/>
                        <w:b/>
                        <w:bCs/>
                        <w:color w:val="FFFFFF" w:themeColor="background1"/>
                        <w:sz w:val="32"/>
                        <w:szCs w:val="72"/>
                      </w:rPr>
                    </w:pPr>
                    <w:r>
                      <w:rPr>
                        <w:rFonts w:ascii="Times New Roman" w:eastAsiaTheme="majorEastAsia" w:hAnsi="Times New Roman" w:cs="Times New Roman"/>
                        <w:b/>
                        <w:bCs/>
                        <w:color w:val="FFFFFF" w:themeColor="background1"/>
                        <w:sz w:val="32"/>
                        <w:szCs w:val="72"/>
                      </w:rPr>
                      <w:t>2017</w:t>
                    </w:r>
                  </w:p>
                </w:tc>
              </w:sdtContent>
            </w:sdt>
          </w:tr>
          <w:tr w:rsidR="001D17B2" w:rsidRPr="008564B4" w:rsidTr="00031EDA">
            <w:trPr>
              <w:trHeight w:val="2880"/>
            </w:trPr>
            <w:tc>
              <w:tcPr>
                <w:tcW w:w="1440" w:type="dxa"/>
                <w:tcBorders>
                  <w:right w:val="single" w:sz="4" w:space="0" w:color="000000" w:themeColor="text1"/>
                </w:tcBorders>
              </w:tcPr>
              <w:p w:rsidR="001D17B2" w:rsidRDefault="001D17B2" w:rsidP="00031EDA"/>
            </w:tc>
            <w:tc>
              <w:tcPr>
                <w:tcW w:w="2520" w:type="dxa"/>
                <w:tcBorders>
                  <w:left w:val="single" w:sz="4" w:space="0" w:color="000000" w:themeColor="text1"/>
                </w:tcBorders>
                <w:vAlign w:val="center"/>
              </w:tcPr>
              <w:p w:rsidR="001D17B2" w:rsidRPr="009600F5" w:rsidRDefault="001D17B2" w:rsidP="00031EDA">
                <w:pPr>
                  <w:pStyle w:val="Sinespaciado"/>
                  <w:rPr>
                    <w:color w:val="76923C" w:themeColor="accent3" w:themeShade="BF"/>
                  </w:rPr>
                </w:pPr>
                <w:r>
                  <w:rPr>
                    <w:noProof/>
                    <w:color w:val="76923C"/>
                  </w:rPr>
                  <w:drawing>
                    <wp:inline distT="0" distB="0" distL="0" distR="0" wp14:anchorId="7F367612" wp14:editId="675C9FA6">
                      <wp:extent cx="1333500" cy="1323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23975"/>
                              </a:xfrm>
                              <a:prstGeom prst="rect">
                                <a:avLst/>
                              </a:prstGeom>
                              <a:noFill/>
                            </pic:spPr>
                          </pic:pic>
                        </a:graphicData>
                      </a:graphic>
                    </wp:inline>
                  </w:drawing>
                </w:r>
              </w:p>
              <w:p w:rsidR="001D17B2" w:rsidRPr="009600F5" w:rsidRDefault="001D17B2" w:rsidP="00031EDA">
                <w:pPr>
                  <w:pStyle w:val="Sinespaciado"/>
                  <w:jc w:val="center"/>
                  <w:rPr>
                    <w:color w:val="76923C" w:themeColor="accent3" w:themeShade="BF"/>
                  </w:rPr>
                </w:pPr>
                <w:r w:rsidRPr="009600F5">
                  <w:rPr>
                    <w:color w:val="C0504D" w:themeColor="accent2"/>
                  </w:rPr>
                  <w:t xml:space="preserve">AYUNTAMIENTO </w:t>
                </w:r>
                <w:proofErr w:type="gramStart"/>
                <w:r w:rsidRPr="009600F5">
                  <w:rPr>
                    <w:color w:val="C0504D" w:themeColor="accent2"/>
                  </w:rPr>
                  <w:t xml:space="preserve">DE </w:t>
                </w:r>
                <w:r w:rsidRPr="007D364E">
                  <w:rPr>
                    <w:color w:val="C0504D" w:themeColor="accent2"/>
                    <w:highlight w:val="yellow"/>
                  </w:rPr>
                  <w:t>…</w:t>
                </w:r>
                <w:proofErr w:type="gramEnd"/>
                <w:r w:rsidRPr="007D364E">
                  <w:rPr>
                    <w:color w:val="C0504D" w:themeColor="accent2"/>
                    <w:highlight w:val="yellow"/>
                  </w:rPr>
                  <w:t>.</w:t>
                </w:r>
              </w:p>
            </w:tc>
          </w:tr>
        </w:tbl>
        <w:p w:rsidR="001D17B2" w:rsidRPr="009600F5" w:rsidRDefault="001D17B2" w:rsidP="001D17B2"/>
        <w:p w:rsidR="001D17B2" w:rsidRPr="009600F5" w:rsidRDefault="001D17B2" w:rsidP="001D17B2"/>
        <w:p w:rsidR="001D17B2" w:rsidRDefault="001D17B2" w:rsidP="001D17B2"/>
        <w:tbl>
          <w:tblPr>
            <w:tblpPr w:leftFromText="187" w:rightFromText="187" w:vertAnchor="page" w:horzAnchor="margin" w:tblpY="6541"/>
            <w:tblW w:w="5000" w:type="pct"/>
            <w:tblLook w:val="04A0" w:firstRow="1" w:lastRow="0" w:firstColumn="1" w:lastColumn="0" w:noHBand="0" w:noVBand="1"/>
          </w:tblPr>
          <w:tblGrid>
            <w:gridCol w:w="8720"/>
          </w:tblGrid>
          <w:tr w:rsidR="001D17B2" w:rsidTr="00031EDA">
            <w:tc>
              <w:tcPr>
                <w:tcW w:w="0" w:type="auto"/>
              </w:tcPr>
              <w:p w:rsidR="001D17B2" w:rsidRDefault="001D17B2" w:rsidP="00031EDA">
                <w:pPr>
                  <w:pStyle w:val="Sinespaciado"/>
                  <w:jc w:val="center"/>
                  <w:rPr>
                    <w:b/>
                    <w:bCs/>
                    <w:caps/>
                    <w:sz w:val="72"/>
                    <w:szCs w:val="72"/>
                  </w:rPr>
                </w:pPr>
                <w:sdt>
                  <w:sdtPr>
                    <w:rPr>
                      <w:b/>
                      <w:bCs/>
                      <w:caps/>
                      <w:color w:val="C0504D" w:themeColor="accent2"/>
                      <w:sz w:val="72"/>
                      <w:szCs w:val="72"/>
                    </w:rPr>
                    <w:alias w:val="Título"/>
                    <w:id w:val="15676137"/>
                    <w:dataBinding w:prefixMappings="xmlns:ns0='http://schemas.openxmlformats.org/package/2006/metadata/core-properties' xmlns:ns1='http://purl.org/dc/elements/1.1/'" w:xpath="/ns0:coreProperties[1]/ns1:title[1]" w:storeItemID="{6C3C8BC8-F283-45AE-878A-BAB7291924A1}"/>
                    <w:text/>
                  </w:sdtPr>
                  <w:sdtContent>
                    <w:r w:rsidR="00EC585B">
                      <w:rPr>
                        <w:b/>
                        <w:bCs/>
                        <w:caps/>
                        <w:color w:val="C0504D" w:themeColor="accent2"/>
                        <w:sz w:val="72"/>
                        <w:szCs w:val="72"/>
                      </w:rPr>
                      <w:t>MODELO DE ORDENANZA FISCAL REGULADORA DE LA TASA DE  ENTRADA DE VEHÍCULOS Y VADO PERMANENTE</w:t>
                    </w:r>
                  </w:sdtContent>
                </w:sdt>
              </w:p>
            </w:tc>
          </w:tr>
          <w:tr w:rsidR="001D17B2" w:rsidTr="00031EDA">
            <w:sdt>
              <w:sdtPr>
                <w:rPr>
                  <w:rFonts w:ascii="Times New Roman" w:hAnsi="Times New Roman" w:cs="Times New Roman"/>
                  <w:color w:val="808080" w:themeColor="background1" w:themeShade="80"/>
                  <w:sz w:val="24"/>
                </w:rPr>
                <w:alias w:val="Descripción breve"/>
                <w:id w:val="15676143"/>
                <w:showingPlcHdr/>
                <w:dataBinding w:prefixMappings="xmlns:ns0='http://schemas.microsoft.com/office/2006/coverPageProps'" w:xpath="/ns0:CoverPageProperties[1]/ns0:Abstract[1]" w:storeItemID="{55AF091B-3C7A-41E3-B477-F2FDAA23CFDA}"/>
                <w:text/>
              </w:sdtPr>
              <w:sdtContent>
                <w:tc>
                  <w:tcPr>
                    <w:tcW w:w="0" w:type="auto"/>
                  </w:tcPr>
                  <w:p w:rsidR="001D17B2" w:rsidRDefault="001D17B2" w:rsidP="00031EDA">
                    <w:pPr>
                      <w:pStyle w:val="Sinespaciado"/>
                      <w:jc w:val="both"/>
                      <w:rPr>
                        <w:color w:val="808080" w:themeColor="background1" w:themeShade="80"/>
                      </w:rPr>
                    </w:pPr>
                    <w:r>
                      <w:rPr>
                        <w:rFonts w:ascii="Times New Roman" w:hAnsi="Times New Roman" w:cs="Times New Roman"/>
                        <w:color w:val="808080" w:themeColor="background1" w:themeShade="80"/>
                        <w:sz w:val="24"/>
                      </w:rPr>
                      <w:t xml:space="preserve">     </w:t>
                    </w:r>
                  </w:p>
                </w:tc>
              </w:sdtContent>
            </w:sdt>
          </w:tr>
        </w:tbl>
        <w:p w:rsidR="001D17B2" w:rsidRDefault="001D17B2" w:rsidP="001D17B2">
          <w:pPr>
            <w:rPr>
              <w:rFonts w:ascii="Times New Roman" w:hAnsi="Times New Roman" w:cs="Times New Roman"/>
              <w:b/>
              <w:color w:val="000000"/>
              <w:sz w:val="28"/>
              <w:szCs w:val="24"/>
            </w:rPr>
          </w:pPr>
          <w:r>
            <w:rPr>
              <w:rFonts w:ascii="Times New Roman" w:eastAsiaTheme="minorEastAsia" w:hAnsi="Times New Roman" w:cs="Times New Roman"/>
              <w:b/>
              <w:color w:val="000000"/>
              <w:sz w:val="28"/>
              <w:szCs w:val="24"/>
              <w:lang w:eastAsia="es-ES"/>
            </w:rPr>
            <w:br w:type="page"/>
          </w:r>
        </w:p>
      </w:sdtContent>
    </w:sdt>
    <w:p w:rsidR="00EA12BC" w:rsidRPr="001D17B2" w:rsidRDefault="001D17B2" w:rsidP="001D17B2">
      <w:pPr>
        <w:jc w:val="both"/>
        <w:rPr>
          <w:rFonts w:ascii="Times New Roman" w:eastAsiaTheme="minorEastAsia" w:hAnsi="Times New Roman" w:cs="Times New Roman"/>
          <w:b/>
          <w:sz w:val="28"/>
          <w:szCs w:val="24"/>
          <w:u w:val="single"/>
          <w:lang w:eastAsia="es-ES"/>
        </w:rPr>
      </w:pPr>
      <w:r w:rsidRPr="008564B4">
        <w:rPr>
          <w:rFonts w:ascii="Times New Roman" w:eastAsiaTheme="minorEastAsia" w:hAnsi="Times New Roman" w:cs="Times New Roman"/>
          <w:b/>
          <w:color w:val="000000"/>
          <w:sz w:val="28"/>
          <w:szCs w:val="24"/>
          <w:u w:val="single"/>
          <w:lang w:eastAsia="es-ES"/>
        </w:rPr>
        <w:lastRenderedPageBreak/>
        <w:t>ORDENANZA FISCAL REGULADORA DE</w:t>
      </w:r>
      <w:r w:rsidRPr="001D17B2">
        <w:t xml:space="preserve"> </w:t>
      </w:r>
      <w:r w:rsidRPr="001D17B2">
        <w:rPr>
          <w:rFonts w:ascii="Times New Roman" w:eastAsiaTheme="minorEastAsia" w:hAnsi="Times New Roman" w:cs="Times New Roman"/>
          <w:b/>
          <w:color w:val="000000"/>
          <w:sz w:val="28"/>
          <w:szCs w:val="24"/>
          <w:u w:val="single"/>
          <w:lang w:eastAsia="es-ES"/>
        </w:rPr>
        <w:t xml:space="preserve">LA TASA DE  ENTRADA DE VEHÍCULOS Y VADO PERMANENTE </w:t>
      </w:r>
      <w:r w:rsidRPr="00773224">
        <w:rPr>
          <w:rFonts w:ascii="Times New Roman" w:eastAsiaTheme="minorEastAsia" w:hAnsi="Times New Roman" w:cs="Times New Roman"/>
          <w:b/>
          <w:color w:val="000000"/>
          <w:sz w:val="28"/>
          <w:szCs w:val="24"/>
          <w:u w:val="single"/>
          <w:lang w:eastAsia="es-ES"/>
        </w:rPr>
        <w:t xml:space="preserve">DEL AYUNTAMIENTO </w:t>
      </w:r>
      <w:proofErr w:type="gramStart"/>
      <w:r w:rsidRPr="00773224">
        <w:rPr>
          <w:rFonts w:ascii="Times New Roman" w:eastAsiaTheme="minorEastAsia" w:hAnsi="Times New Roman" w:cs="Times New Roman"/>
          <w:b/>
          <w:color w:val="000000"/>
          <w:sz w:val="28"/>
          <w:szCs w:val="24"/>
          <w:u w:val="single"/>
          <w:lang w:eastAsia="es-ES"/>
        </w:rPr>
        <w:t xml:space="preserve">DE </w:t>
      </w:r>
      <w:r w:rsidRPr="007D364E">
        <w:rPr>
          <w:rFonts w:ascii="Times New Roman" w:eastAsiaTheme="minorEastAsia" w:hAnsi="Times New Roman" w:cs="Times New Roman"/>
          <w:b/>
          <w:color w:val="000000"/>
          <w:sz w:val="28"/>
          <w:szCs w:val="24"/>
          <w:highlight w:val="yellow"/>
          <w:u w:val="single"/>
          <w:lang w:eastAsia="es-ES"/>
        </w:rPr>
        <w:t>…</w:t>
      </w:r>
      <w:proofErr w:type="gramEnd"/>
      <w:r>
        <w:rPr>
          <w:rStyle w:val="Refdenotaalpie"/>
          <w:rFonts w:ascii="Times New Roman" w:eastAsiaTheme="minorEastAsia" w:hAnsi="Times New Roman" w:cs="Times New Roman"/>
          <w:b/>
          <w:color w:val="000000"/>
          <w:sz w:val="28"/>
          <w:szCs w:val="24"/>
          <w:highlight w:val="yellow"/>
          <w:u w:val="single"/>
          <w:lang w:eastAsia="es-ES"/>
        </w:rPr>
        <w:footnoteReference w:id="1"/>
      </w: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b/>
          <w:sz w:val="24"/>
          <w:szCs w:val="24"/>
          <w:highlight w:val="red"/>
          <w:lang w:eastAsia="es-ES"/>
        </w:rPr>
        <w:t>Artículo 1</w:t>
      </w:r>
      <w:r w:rsidRPr="001D17B2">
        <w:rPr>
          <w:rFonts w:ascii="Times New Roman" w:eastAsia="Times New Roman" w:hAnsi="Times New Roman" w:cs="Times New Roman"/>
          <w:b/>
          <w:bCs/>
          <w:sz w:val="24"/>
          <w:szCs w:val="24"/>
          <w:highlight w:val="red"/>
          <w:lang w:eastAsia="es-ES"/>
        </w:rPr>
        <w:t xml:space="preserve">. </w:t>
      </w:r>
      <w:r w:rsidRPr="001D17B2">
        <w:rPr>
          <w:rFonts w:ascii="Times New Roman" w:eastAsia="Times New Roman" w:hAnsi="Times New Roman" w:cs="Times New Roman"/>
          <w:b/>
          <w:bCs/>
          <w:sz w:val="24"/>
          <w:szCs w:val="24"/>
          <w:highlight w:val="red"/>
          <w:u w:val="single"/>
          <w:lang w:eastAsia="es-ES"/>
        </w:rPr>
        <w:t>FUNDAMENTO Y NATURALEZA</w:t>
      </w:r>
      <w:r w:rsidRPr="001D17B2">
        <w:rPr>
          <w:rFonts w:ascii="Times New Roman" w:eastAsia="Times New Roman" w:hAnsi="Times New Roman" w:cs="Times New Roman"/>
          <w:sz w:val="24"/>
          <w:szCs w:val="24"/>
          <w:highlight w:val="red"/>
          <w:u w:val="single"/>
          <w:lang w:eastAsia="es-ES"/>
        </w:rPr>
        <w:t>.</w:t>
      </w:r>
      <w:r w:rsidRPr="001D17B2">
        <w:rPr>
          <w:rFonts w:ascii="Times New Roman" w:eastAsia="Times New Roman" w:hAnsi="Times New Roman" w:cs="Times New Roman"/>
          <w:b/>
          <w:color w:val="000000"/>
          <w:sz w:val="24"/>
          <w:szCs w:val="24"/>
          <w:highlight w:val="red"/>
          <w:lang w:eastAsia="es-ES"/>
        </w:rPr>
        <w:t xml:space="preserve"> </w:t>
      </w:r>
      <w:r>
        <w:rPr>
          <w:rStyle w:val="Refdenotaalpie"/>
          <w:rFonts w:ascii="Times New Roman" w:eastAsia="Times New Roman" w:hAnsi="Times New Roman" w:cs="Times New Roman"/>
          <w:b/>
          <w:color w:val="000000"/>
          <w:sz w:val="24"/>
          <w:szCs w:val="24"/>
          <w:highlight w:val="red"/>
          <w:lang w:eastAsia="es-ES"/>
        </w:rPr>
        <w:footnoteReference w:id="2"/>
      </w: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 xml:space="preserve">En uso de las facultades concedidas por los artículos 133.2 y 142 de la Constitución y por el </w:t>
      </w:r>
      <w:r w:rsidRPr="001D17B2">
        <w:rPr>
          <w:rFonts w:ascii="Times New Roman" w:eastAsia="Times New Roman" w:hAnsi="Times New Roman" w:cs="Times New Roman"/>
          <w:sz w:val="24"/>
          <w:szCs w:val="24"/>
          <w:u w:val="single"/>
          <w:lang w:eastAsia="es-ES"/>
        </w:rPr>
        <w:t xml:space="preserve">artículo 106 de la Ley 7/85, de 2 de abril, </w:t>
      </w:r>
      <w:r w:rsidRPr="001D17B2">
        <w:rPr>
          <w:rFonts w:ascii="Times New Roman" w:eastAsia="Times New Roman" w:hAnsi="Times New Roman" w:cs="Times New Roman"/>
          <w:sz w:val="24"/>
          <w:szCs w:val="24"/>
          <w:lang w:eastAsia="es-ES"/>
        </w:rPr>
        <w:t>Reguladora de las Bases del Régimen Loca</w:t>
      </w:r>
      <w:r w:rsidRPr="001D17B2">
        <w:rPr>
          <w:rFonts w:ascii="Times New Roman" w:eastAsia="Times New Roman" w:hAnsi="Times New Roman" w:cs="Times New Roman"/>
          <w:sz w:val="24"/>
          <w:szCs w:val="24"/>
          <w:u w:val="single"/>
          <w:lang w:eastAsia="es-ES"/>
        </w:rPr>
        <w:t>l</w:t>
      </w:r>
      <w:r w:rsidRPr="001D17B2">
        <w:rPr>
          <w:rFonts w:ascii="Times New Roman" w:eastAsia="Times New Roman" w:hAnsi="Times New Roman" w:cs="Times New Roman"/>
          <w:sz w:val="24"/>
          <w:szCs w:val="24"/>
          <w:lang w:eastAsia="es-ES"/>
        </w:rPr>
        <w:t xml:space="preserve">, y de conformidad con lo dispuesto en </w:t>
      </w:r>
      <w:r w:rsidRPr="001D17B2">
        <w:rPr>
          <w:rFonts w:ascii="Times New Roman" w:eastAsia="Times New Roman" w:hAnsi="Times New Roman" w:cs="Times New Roman"/>
          <w:sz w:val="24"/>
          <w:szCs w:val="24"/>
          <w:u w:val="single"/>
          <w:lang w:eastAsia="es-ES"/>
        </w:rPr>
        <w:t xml:space="preserve">los artículos </w:t>
      </w:r>
      <w:smartTag w:uri="urn:schemas-microsoft-com:office:smarttags" w:element="metricconverter">
        <w:smartTagPr>
          <w:attr w:name="ProductID" w:val="15 a"/>
        </w:smartTagPr>
        <w:r w:rsidRPr="001D17B2">
          <w:rPr>
            <w:rFonts w:ascii="Times New Roman" w:eastAsia="Times New Roman" w:hAnsi="Times New Roman" w:cs="Times New Roman"/>
            <w:sz w:val="24"/>
            <w:szCs w:val="24"/>
            <w:u w:val="single"/>
            <w:lang w:eastAsia="es-ES"/>
          </w:rPr>
          <w:t>15 a</w:t>
        </w:r>
      </w:smartTag>
      <w:r w:rsidRPr="001D17B2">
        <w:rPr>
          <w:rFonts w:ascii="Times New Roman" w:eastAsia="Times New Roman" w:hAnsi="Times New Roman" w:cs="Times New Roman"/>
          <w:sz w:val="24"/>
          <w:szCs w:val="24"/>
          <w:u w:val="single"/>
          <w:lang w:eastAsia="es-ES"/>
        </w:rPr>
        <w:t xml:space="preserve"> 19 del Real Decreto Legislativo 2/2004, </w:t>
      </w:r>
      <w:r w:rsidRPr="001D17B2">
        <w:rPr>
          <w:rFonts w:ascii="Times New Roman" w:eastAsia="Times New Roman" w:hAnsi="Times New Roman" w:cs="Times New Roman"/>
          <w:sz w:val="24"/>
          <w:szCs w:val="24"/>
          <w:lang w:eastAsia="es-ES"/>
        </w:rPr>
        <w:t xml:space="preserve">de 5 de marzo, por el que se aprueba el texto refundido de </w:t>
      </w:r>
      <w:smartTag w:uri="urn:schemas-microsoft-com:office:smarttags" w:element="PersonName">
        <w:smartTagPr>
          <w:attr w:name="ProductID" w:val="la Ley Reguladora"/>
        </w:smartTagPr>
        <w:r w:rsidRPr="001D17B2">
          <w:rPr>
            <w:rFonts w:ascii="Times New Roman" w:eastAsia="Times New Roman" w:hAnsi="Times New Roman" w:cs="Times New Roman"/>
            <w:sz w:val="24"/>
            <w:szCs w:val="24"/>
            <w:lang w:eastAsia="es-ES"/>
          </w:rPr>
          <w:t>la Ley Reguladora</w:t>
        </w:r>
      </w:smartTag>
      <w:r w:rsidRPr="001D17B2">
        <w:rPr>
          <w:rFonts w:ascii="Times New Roman" w:eastAsia="Times New Roman" w:hAnsi="Times New Roman" w:cs="Times New Roman"/>
          <w:sz w:val="24"/>
          <w:szCs w:val="24"/>
          <w:lang w:eastAsia="es-ES"/>
        </w:rPr>
        <w:t xml:space="preserve"> de las Haciendas Locales, el Ayuntamiento de</w:t>
      </w:r>
      <w:r w:rsidRPr="001D17B2">
        <w:rPr>
          <w:rFonts w:ascii="Times New Roman" w:eastAsia="Times New Roman" w:hAnsi="Times New Roman" w:cs="Times New Roman"/>
          <w:sz w:val="24"/>
          <w:szCs w:val="24"/>
          <w:highlight w:val="yellow"/>
          <w:lang w:eastAsia="es-ES"/>
        </w:rPr>
        <w:t>_______________</w:t>
      </w:r>
      <w:r w:rsidRPr="001D17B2">
        <w:rPr>
          <w:rStyle w:val="Refdenotaalpie"/>
          <w:rFonts w:ascii="Times New Roman" w:eastAsia="Times New Roman" w:hAnsi="Times New Roman" w:cs="Times New Roman"/>
          <w:color w:val="000000"/>
          <w:sz w:val="24"/>
          <w:szCs w:val="24"/>
          <w:highlight w:val="yellow"/>
          <w:lang w:eastAsia="es-ES"/>
        </w:rPr>
        <w:footnoteReference w:id="3"/>
      </w:r>
      <w:r w:rsidRPr="001D17B2">
        <w:rPr>
          <w:rFonts w:ascii="Times New Roman" w:eastAsia="Times New Roman" w:hAnsi="Times New Roman" w:cs="Times New Roman"/>
          <w:sz w:val="24"/>
          <w:szCs w:val="24"/>
          <w:lang w:eastAsia="es-ES"/>
        </w:rPr>
        <w:t>, establece la Tasa</w:t>
      </w:r>
      <w:r w:rsidRPr="001D17B2">
        <w:rPr>
          <w:rFonts w:ascii="Times New Roman" w:eastAsia="Times New Roman" w:hAnsi="Times New Roman" w:cs="Times New Roman"/>
          <w:b/>
          <w:bCs/>
          <w:sz w:val="24"/>
          <w:szCs w:val="24"/>
          <w:lang w:eastAsia="es-ES"/>
        </w:rPr>
        <w:t xml:space="preserve"> por entrada de vehículos desde la vía pública a los edificios, locales y solares y de las reservas de la vía pública para aparcamiento exclusivo, carga y descarga y otras actividades en interés particular, </w:t>
      </w:r>
      <w:r w:rsidRPr="001D17B2">
        <w:rPr>
          <w:rFonts w:ascii="Times New Roman" w:eastAsia="Times New Roman" w:hAnsi="Times New Roman" w:cs="Times New Roman"/>
          <w:sz w:val="24"/>
          <w:szCs w:val="24"/>
          <w:lang w:eastAsia="es-ES"/>
        </w:rPr>
        <w:t xml:space="preserve">a que se refiere el artículo 20. 3. h), del propio Real Decreto Legislativo, que se regirá por </w:t>
      </w:r>
      <w:smartTag w:uri="urn:schemas-microsoft-com:office:smarttags" w:element="PersonName">
        <w:smartTagPr>
          <w:attr w:name="ProductID" w:val="la presente Ordenanza Fiscal"/>
        </w:smartTagPr>
        <w:r w:rsidRPr="001D17B2">
          <w:rPr>
            <w:rFonts w:ascii="Times New Roman" w:eastAsia="Times New Roman" w:hAnsi="Times New Roman" w:cs="Times New Roman"/>
            <w:sz w:val="24"/>
            <w:szCs w:val="24"/>
            <w:lang w:eastAsia="es-ES"/>
          </w:rPr>
          <w:t>la presente Ordenanza Fiscal</w:t>
        </w:r>
      </w:smartTag>
      <w:r w:rsidRPr="001D17B2">
        <w:rPr>
          <w:rFonts w:ascii="Times New Roman" w:eastAsia="Times New Roman" w:hAnsi="Times New Roman" w:cs="Times New Roman"/>
          <w:sz w:val="24"/>
          <w:szCs w:val="24"/>
          <w:lang w:eastAsia="es-ES"/>
        </w:rPr>
        <w:t>, y cuyas normas atienden a lo prevenido en el artículo 57 del citado Real Decreto Legislativo.</w:t>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r w:rsidRPr="001D17B2">
        <w:rPr>
          <w:rFonts w:ascii="Times New Roman" w:eastAsia="Times New Roman" w:hAnsi="Times New Roman" w:cs="Times New Roman"/>
          <w:b/>
          <w:sz w:val="24"/>
          <w:szCs w:val="24"/>
          <w:lang w:eastAsia="es-ES"/>
        </w:rPr>
        <w:t>Artículo 2.</w:t>
      </w:r>
      <w:r w:rsidRPr="001D17B2">
        <w:rPr>
          <w:rFonts w:ascii="Times New Roman" w:eastAsia="Times New Roman" w:hAnsi="Times New Roman" w:cs="Times New Roman"/>
          <w:b/>
          <w:bCs/>
          <w:sz w:val="24"/>
          <w:szCs w:val="24"/>
          <w:lang w:eastAsia="es-ES"/>
        </w:rPr>
        <w:t xml:space="preserve"> </w:t>
      </w:r>
      <w:r w:rsidRPr="001D17B2">
        <w:rPr>
          <w:rFonts w:ascii="Times New Roman" w:eastAsia="Times New Roman" w:hAnsi="Times New Roman" w:cs="Times New Roman"/>
          <w:b/>
          <w:bCs/>
          <w:sz w:val="24"/>
          <w:szCs w:val="24"/>
          <w:u w:val="single"/>
          <w:lang w:eastAsia="es-ES"/>
        </w:rPr>
        <w:t>HECHO IMPONIBLE</w:t>
      </w:r>
      <w:r w:rsidRPr="001D17B2">
        <w:rPr>
          <w:rFonts w:ascii="Times New Roman" w:eastAsia="Times New Roman" w:hAnsi="Times New Roman" w:cs="Times New Roman"/>
          <w:sz w:val="24"/>
          <w:szCs w:val="24"/>
          <w:u w:val="single"/>
          <w:lang w:eastAsia="es-ES"/>
        </w:rPr>
        <w:t>.</w:t>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Constituyen el hecho imponible de esta Tasa, la utilización privativa o el aprovechamiento especial de las vías municipales, en los casos siguientes:</w:t>
      </w: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a) Entradas de vehículos en edificios, solares, fábricas, talleres y en general, en inmuebles de cualquier destino, realizada a través de terrenos destinados al uso público, tengan o no licencia de vado permanente.</w:t>
      </w: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color w:val="FF0000"/>
          <w:sz w:val="24"/>
          <w:szCs w:val="24"/>
          <w:lang w:eastAsia="es-ES"/>
        </w:rPr>
      </w:pPr>
      <w:r w:rsidRPr="001D17B2">
        <w:rPr>
          <w:rFonts w:ascii="Times New Roman" w:eastAsia="Times New Roman" w:hAnsi="Times New Roman" w:cs="Times New Roman"/>
          <w:sz w:val="24"/>
          <w:szCs w:val="24"/>
          <w:lang w:eastAsia="es-ES"/>
        </w:rPr>
        <w:t>b) Reservas de vía pública permanentes en edificios, solares, fábricas, talleres y en general, en inmuebles de cualquier destino que cuenten con licencia de vado</w:t>
      </w:r>
      <w:r w:rsidRPr="001D17B2">
        <w:rPr>
          <w:rFonts w:ascii="Times New Roman" w:eastAsia="Times New Roman" w:hAnsi="Times New Roman" w:cs="Times New Roman"/>
          <w:color w:val="00B050"/>
          <w:sz w:val="24"/>
          <w:szCs w:val="24"/>
          <w:lang w:eastAsia="es-ES"/>
        </w:rPr>
        <w:t xml:space="preserve"> </w:t>
      </w:r>
      <w:r w:rsidRPr="001D17B2">
        <w:rPr>
          <w:rFonts w:ascii="Times New Roman" w:eastAsia="Times New Roman" w:hAnsi="Times New Roman" w:cs="Times New Roman"/>
          <w:sz w:val="24"/>
          <w:szCs w:val="24"/>
          <w:lang w:eastAsia="es-ES"/>
        </w:rPr>
        <w:t>permanente</w:t>
      </w:r>
      <w:r w:rsidRPr="001D17B2">
        <w:rPr>
          <w:rFonts w:ascii="Times New Roman" w:eastAsia="Times New Roman" w:hAnsi="Times New Roman" w:cs="Times New Roman"/>
          <w:color w:val="FF0000"/>
          <w:sz w:val="24"/>
          <w:szCs w:val="24"/>
          <w:lang w:eastAsia="es-ES"/>
        </w:rPr>
        <w:t>.</w:t>
      </w: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color w:val="FF0000"/>
          <w:sz w:val="24"/>
          <w:szCs w:val="24"/>
          <w:lang w:eastAsia="es-ES"/>
        </w:rPr>
      </w:pP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c) Reservas de vía pública temporales para carga y descarga de mercancías de cualquier clase.</w:t>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r w:rsidRPr="001D17B2">
        <w:rPr>
          <w:rFonts w:ascii="Times New Roman" w:eastAsia="Times New Roman" w:hAnsi="Times New Roman" w:cs="Times New Roman"/>
          <w:b/>
          <w:sz w:val="24"/>
          <w:szCs w:val="24"/>
          <w:lang w:eastAsia="es-ES"/>
        </w:rPr>
        <w:t>Artículo 3.</w:t>
      </w:r>
      <w:r w:rsidRPr="001D17B2">
        <w:rPr>
          <w:rFonts w:ascii="Times New Roman" w:eastAsia="Times New Roman" w:hAnsi="Times New Roman" w:cs="Times New Roman"/>
          <w:b/>
          <w:bCs/>
          <w:sz w:val="24"/>
          <w:szCs w:val="24"/>
          <w:lang w:eastAsia="es-ES"/>
        </w:rPr>
        <w:t xml:space="preserve"> </w:t>
      </w:r>
      <w:r w:rsidRPr="001D17B2">
        <w:rPr>
          <w:rFonts w:ascii="Times New Roman" w:eastAsia="Times New Roman" w:hAnsi="Times New Roman" w:cs="Times New Roman"/>
          <w:b/>
          <w:bCs/>
          <w:sz w:val="24"/>
          <w:szCs w:val="24"/>
          <w:u w:val="single"/>
          <w:lang w:eastAsia="es-ES"/>
        </w:rPr>
        <w:t>SUJETO PASIVO</w:t>
      </w:r>
      <w:r w:rsidRPr="001D17B2">
        <w:rPr>
          <w:rFonts w:ascii="Times New Roman" w:eastAsia="Times New Roman" w:hAnsi="Times New Roman" w:cs="Times New Roman"/>
          <w:sz w:val="24"/>
          <w:szCs w:val="24"/>
          <w:u w:val="single"/>
          <w:lang w:eastAsia="es-ES"/>
        </w:rPr>
        <w:t>.</w:t>
      </w:r>
    </w:p>
    <w:p w:rsidR="001D17B2" w:rsidRPr="001D17B2" w:rsidRDefault="001D17B2" w:rsidP="001D17B2">
      <w:pPr>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 xml:space="preserve">Son sujetos pasivos en concepto de contribuyentes, las personas físicas o jurídicas así como las Entidades a que se refiere </w:t>
      </w:r>
      <w:r w:rsidRPr="001D17B2">
        <w:rPr>
          <w:rFonts w:ascii="Times New Roman" w:eastAsia="Times New Roman" w:hAnsi="Times New Roman" w:cs="Times New Roman"/>
          <w:sz w:val="24"/>
          <w:szCs w:val="24"/>
          <w:u w:val="single"/>
          <w:lang w:eastAsia="es-ES"/>
        </w:rPr>
        <w:t>el artículo 35.4 de la Ley 58/2003, de 17 de diciembre, General Tributaria</w:t>
      </w:r>
      <w:r w:rsidRPr="001D17B2">
        <w:rPr>
          <w:rFonts w:ascii="Times New Roman" w:eastAsia="Times New Roman" w:hAnsi="Times New Roman" w:cs="Times New Roman"/>
          <w:sz w:val="24"/>
          <w:szCs w:val="24"/>
          <w:lang w:eastAsia="es-ES"/>
        </w:rPr>
        <w:t>, que utilicen o aprovechen las entradas o reservas. Cuando se solicite licencia para la utilización o aprovechamiento, se entenderá que tiene la condición de sujeto pasivo el propietario del inmueble o de la empresa que utilizara la entrada o reserva.</w:t>
      </w: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u w:val="single"/>
          <w:lang w:eastAsia="es-ES"/>
        </w:rPr>
      </w:pPr>
      <w:r w:rsidRPr="001D17B2">
        <w:rPr>
          <w:rFonts w:ascii="Times New Roman" w:eastAsia="Times New Roman" w:hAnsi="Times New Roman" w:cs="Times New Roman"/>
          <w:b/>
          <w:sz w:val="24"/>
          <w:szCs w:val="24"/>
          <w:lang w:eastAsia="es-ES"/>
        </w:rPr>
        <w:lastRenderedPageBreak/>
        <w:t>Artículo 4</w:t>
      </w:r>
      <w:r w:rsidRPr="001D17B2">
        <w:rPr>
          <w:rFonts w:ascii="Times New Roman" w:eastAsia="Times New Roman" w:hAnsi="Times New Roman" w:cs="Times New Roman"/>
          <w:b/>
          <w:bCs/>
          <w:sz w:val="24"/>
          <w:szCs w:val="24"/>
          <w:lang w:eastAsia="es-ES"/>
        </w:rPr>
        <w:t xml:space="preserve">. </w:t>
      </w:r>
      <w:r w:rsidRPr="001D17B2">
        <w:rPr>
          <w:rFonts w:ascii="Times New Roman" w:eastAsia="Times New Roman" w:hAnsi="Times New Roman" w:cs="Times New Roman"/>
          <w:b/>
          <w:bCs/>
          <w:sz w:val="24"/>
          <w:szCs w:val="24"/>
          <w:u w:val="single"/>
          <w:lang w:eastAsia="es-ES"/>
        </w:rPr>
        <w:t>RESPONSABLES.</w:t>
      </w:r>
      <w:r w:rsidRPr="001D17B2">
        <w:rPr>
          <w:rFonts w:ascii="Times New Roman" w:eastAsia="Times New Roman" w:hAnsi="Times New Roman" w:cs="Times New Roman"/>
          <w:sz w:val="24"/>
          <w:szCs w:val="24"/>
          <w:u w:val="single"/>
          <w:lang w:eastAsia="es-ES"/>
        </w:rPr>
        <w:t xml:space="preserve"> </w:t>
      </w:r>
    </w:p>
    <w:p w:rsidR="001D17B2" w:rsidRPr="001D17B2" w:rsidRDefault="001D17B2" w:rsidP="001D17B2">
      <w:pPr>
        <w:spacing w:after="0" w:line="240" w:lineRule="auto"/>
        <w:jc w:val="both"/>
        <w:rPr>
          <w:rFonts w:ascii="Times New Roman" w:eastAsia="Times New Roman" w:hAnsi="Times New Roman" w:cs="Times New Roman"/>
          <w:color w:val="000000"/>
          <w:sz w:val="24"/>
          <w:szCs w:val="24"/>
          <w:lang w:eastAsia="es-ES"/>
        </w:rPr>
      </w:pPr>
    </w:p>
    <w:p w:rsidR="001D17B2" w:rsidRPr="001D17B2" w:rsidRDefault="001D17B2" w:rsidP="001D17B2">
      <w:pPr>
        <w:spacing w:after="0" w:line="240" w:lineRule="auto"/>
        <w:jc w:val="both"/>
        <w:rPr>
          <w:rFonts w:ascii="Times New Roman" w:eastAsia="Times New Roman" w:hAnsi="Times New Roman" w:cs="Times New Roman"/>
          <w:sz w:val="24"/>
          <w:szCs w:val="24"/>
          <w:u w:val="single"/>
          <w:lang w:eastAsia="es-ES"/>
        </w:rPr>
      </w:pPr>
      <w:r w:rsidRPr="001D17B2">
        <w:rPr>
          <w:rFonts w:ascii="Times New Roman" w:eastAsia="Times New Roman" w:hAnsi="Times New Roman" w:cs="Times New Roman"/>
          <w:color w:val="000000"/>
          <w:sz w:val="24"/>
          <w:szCs w:val="24"/>
          <w:lang w:eastAsia="es-ES"/>
        </w:rPr>
        <w:t xml:space="preserve">Responderán solidaria o subsidiariamente de las obligaciones tributarias del sujeto pasivo, las personas físicas o jurídicas a que se refieren </w:t>
      </w:r>
      <w:r w:rsidRPr="001D17B2">
        <w:rPr>
          <w:rFonts w:ascii="Times New Roman" w:eastAsia="Times New Roman" w:hAnsi="Times New Roman" w:cs="Times New Roman"/>
          <w:color w:val="000000"/>
          <w:sz w:val="24"/>
          <w:szCs w:val="24"/>
          <w:u w:val="single"/>
          <w:lang w:eastAsia="es-ES"/>
        </w:rPr>
        <w:t xml:space="preserve">los artículos </w:t>
      </w:r>
      <w:smartTag w:uri="urn:schemas-microsoft-com:office:smarttags" w:element="metricconverter">
        <w:smartTagPr>
          <w:attr w:name="ProductID" w:val="41 a"/>
        </w:smartTagPr>
        <w:r w:rsidRPr="001D17B2">
          <w:rPr>
            <w:rFonts w:ascii="Times New Roman" w:eastAsia="Times New Roman" w:hAnsi="Times New Roman" w:cs="Times New Roman"/>
            <w:color w:val="000000"/>
            <w:sz w:val="24"/>
            <w:szCs w:val="24"/>
            <w:u w:val="single"/>
            <w:lang w:eastAsia="es-ES"/>
          </w:rPr>
          <w:t>41 a</w:t>
        </w:r>
      </w:smartTag>
      <w:r w:rsidRPr="001D17B2">
        <w:rPr>
          <w:rFonts w:ascii="Times New Roman" w:eastAsia="Times New Roman" w:hAnsi="Times New Roman" w:cs="Times New Roman"/>
          <w:color w:val="000000"/>
          <w:sz w:val="24"/>
          <w:szCs w:val="24"/>
          <w:u w:val="single"/>
          <w:lang w:eastAsia="es-ES"/>
        </w:rPr>
        <w:t xml:space="preserve"> 43 de la Ley </w:t>
      </w:r>
      <w:r w:rsidRPr="001D17B2">
        <w:rPr>
          <w:rFonts w:ascii="Times New Roman" w:eastAsia="Times New Roman" w:hAnsi="Times New Roman" w:cs="Times New Roman"/>
          <w:sz w:val="24"/>
          <w:szCs w:val="24"/>
          <w:u w:val="single"/>
          <w:lang w:eastAsia="es-ES"/>
        </w:rPr>
        <w:t xml:space="preserve">58/2003, de 17 de diciembre </w:t>
      </w:r>
      <w:r w:rsidRPr="001D17B2">
        <w:rPr>
          <w:rFonts w:ascii="Times New Roman" w:eastAsia="Times New Roman" w:hAnsi="Times New Roman" w:cs="Times New Roman"/>
          <w:color w:val="000000"/>
          <w:sz w:val="24"/>
          <w:szCs w:val="24"/>
          <w:u w:val="single"/>
          <w:lang w:eastAsia="es-ES"/>
        </w:rPr>
        <w:t>General Tributaria.</w:t>
      </w: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sz w:val="24"/>
          <w:szCs w:val="24"/>
          <w:lang w:eastAsia="es-ES"/>
        </w:rPr>
      </w:pPr>
      <w:r w:rsidRPr="001D17B2">
        <w:rPr>
          <w:rFonts w:ascii="Times New Roman" w:eastAsia="Times New Roman" w:hAnsi="Times New Roman" w:cs="Times New Roman"/>
          <w:b/>
          <w:sz w:val="24"/>
          <w:szCs w:val="24"/>
          <w:highlight w:val="red"/>
          <w:lang w:eastAsia="es-ES"/>
        </w:rPr>
        <w:t>Artículo 5.</w:t>
      </w:r>
      <w:r w:rsidRPr="001D17B2">
        <w:rPr>
          <w:rFonts w:ascii="Times New Roman" w:eastAsia="Times New Roman" w:hAnsi="Times New Roman" w:cs="Times New Roman"/>
          <w:sz w:val="24"/>
          <w:szCs w:val="24"/>
          <w:highlight w:val="red"/>
          <w:lang w:eastAsia="es-ES"/>
        </w:rPr>
        <w:t xml:space="preserve"> </w:t>
      </w:r>
      <w:r w:rsidRPr="001D17B2">
        <w:rPr>
          <w:rFonts w:ascii="Times New Roman" w:eastAsia="Times New Roman" w:hAnsi="Times New Roman" w:cs="Times New Roman"/>
          <w:b/>
          <w:bCs/>
          <w:sz w:val="24"/>
          <w:szCs w:val="24"/>
          <w:highlight w:val="red"/>
          <w:u w:val="single"/>
          <w:lang w:eastAsia="es-ES"/>
        </w:rPr>
        <w:t>CUOTA TRIBUTARIA</w:t>
      </w:r>
      <w:r w:rsidR="001C140F" w:rsidRPr="001C140F">
        <w:rPr>
          <w:rStyle w:val="Refdenotaalpie"/>
          <w:rFonts w:ascii="Times New Roman" w:eastAsia="Times New Roman" w:hAnsi="Times New Roman" w:cs="Times New Roman"/>
          <w:b/>
          <w:sz w:val="24"/>
          <w:szCs w:val="24"/>
          <w:highlight w:val="red"/>
          <w:lang w:eastAsia="es-ES"/>
        </w:rPr>
        <w:footnoteReference w:id="4"/>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5.1.- La cuota tributaria se determinará con arreglo al tipo de aprovechamiento del dominio público local y conforme a las siguientes tarifas:</w:t>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p>
    <w:tbl>
      <w:tblPr>
        <w:tblW w:w="0" w:type="auto"/>
        <w:jc w:val="center"/>
        <w:tblBorders>
          <w:top w:val="nil"/>
          <w:left w:val="nil"/>
          <w:bottom w:val="nil"/>
          <w:right w:val="nil"/>
        </w:tblBorders>
        <w:tblLayout w:type="fixed"/>
        <w:tblLook w:val="0000" w:firstRow="0" w:lastRow="0" w:firstColumn="0" w:lastColumn="0" w:noHBand="0" w:noVBand="0"/>
      </w:tblPr>
      <w:tblGrid>
        <w:gridCol w:w="8050"/>
        <w:gridCol w:w="1004"/>
      </w:tblGrid>
      <w:tr w:rsidR="001D17B2" w:rsidRPr="001D17B2" w:rsidTr="00031EDA">
        <w:tblPrEx>
          <w:tblCellMar>
            <w:top w:w="0" w:type="dxa"/>
            <w:bottom w:w="0" w:type="dxa"/>
          </w:tblCellMar>
        </w:tblPrEx>
        <w:trPr>
          <w:trHeight w:val="237"/>
          <w:jc w:val="center"/>
        </w:trPr>
        <w:tc>
          <w:tcPr>
            <w:tcW w:w="8050" w:type="dxa"/>
            <w:tcBorders>
              <w:top w:val="single" w:sz="24" w:space="0" w:color="000000"/>
              <w:left w:val="single" w:sz="2" w:space="0" w:color="000000"/>
              <w:bottom w:val="single" w:sz="24" w:space="0" w:color="000000"/>
              <w:right w:val="single" w:sz="24" w:space="0" w:color="000000"/>
            </w:tcBorders>
          </w:tcPr>
          <w:p w:rsidR="001D17B2" w:rsidRPr="001D17B2" w:rsidRDefault="001D17B2" w:rsidP="001D17B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es-ES"/>
              </w:rPr>
            </w:pPr>
            <w:r w:rsidRPr="001D17B2">
              <w:rPr>
                <w:rFonts w:ascii="Times New Roman" w:eastAsia="Times New Roman" w:hAnsi="Times New Roman" w:cs="Times New Roman"/>
                <w:b/>
                <w:sz w:val="24"/>
                <w:szCs w:val="24"/>
                <w:lang w:eastAsia="es-ES"/>
              </w:rPr>
              <w:t>Tipo de aprovechamiento especial del dominio público local</w:t>
            </w:r>
          </w:p>
        </w:tc>
        <w:tc>
          <w:tcPr>
            <w:tcW w:w="1004" w:type="dxa"/>
            <w:tcBorders>
              <w:top w:val="single" w:sz="24" w:space="0" w:color="000000"/>
              <w:left w:val="single" w:sz="24" w:space="0" w:color="000000"/>
              <w:bottom w:val="single" w:sz="24" w:space="0" w:color="000000"/>
              <w:right w:val="single" w:sz="24" w:space="0" w:color="000000"/>
            </w:tcBorders>
            <w:vAlign w:val="center"/>
          </w:tcPr>
          <w:p w:rsidR="001D17B2" w:rsidRPr="001D17B2" w:rsidRDefault="001D17B2" w:rsidP="001D17B2">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es-ES"/>
              </w:rPr>
            </w:pPr>
            <w:r w:rsidRPr="001D17B2">
              <w:rPr>
                <w:rFonts w:ascii="Times New Roman" w:eastAsia="Times New Roman" w:hAnsi="Times New Roman" w:cs="Times New Roman"/>
                <w:b/>
                <w:sz w:val="24"/>
                <w:szCs w:val="24"/>
                <w:lang w:eastAsia="es-ES"/>
              </w:rPr>
              <w:t>Tarifa</w:t>
            </w:r>
          </w:p>
        </w:tc>
      </w:tr>
      <w:tr w:rsidR="001D17B2" w:rsidRPr="001D17B2" w:rsidTr="00031EDA">
        <w:tblPrEx>
          <w:tblCellMar>
            <w:top w:w="0" w:type="dxa"/>
            <w:bottom w:w="0" w:type="dxa"/>
          </w:tblCellMar>
        </w:tblPrEx>
        <w:trPr>
          <w:trHeight w:val="222"/>
          <w:jc w:val="center"/>
        </w:trPr>
        <w:tc>
          <w:tcPr>
            <w:tcW w:w="8050" w:type="dxa"/>
            <w:tcBorders>
              <w:top w:val="single" w:sz="24" w:space="0" w:color="000000"/>
              <w:left w:val="single" w:sz="2" w:space="0" w:color="000000"/>
              <w:bottom w:val="single" w:sz="24" w:space="0" w:color="000000"/>
              <w:right w:val="single" w:sz="24" w:space="0" w:color="000000"/>
            </w:tcBorders>
            <w:vAlign w:val="center"/>
          </w:tcPr>
          <w:p w:rsidR="001D17B2" w:rsidRPr="001D17B2" w:rsidRDefault="001D17B2"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r w:rsidRPr="001D17B2">
              <w:rPr>
                <w:rFonts w:ascii="Times New Roman" w:eastAsia="Times New Roman" w:hAnsi="Times New Roman" w:cs="Times New Roman"/>
                <w:sz w:val="24"/>
                <w:szCs w:val="24"/>
                <w:highlight w:val="green"/>
                <w:lang w:eastAsia="es-ES"/>
              </w:rPr>
              <w:t>1. Entrada de vehículos para el servicio particular:</w:t>
            </w:r>
          </w:p>
          <w:p w:rsidR="001D17B2" w:rsidRPr="001D17B2" w:rsidRDefault="001D17B2"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r w:rsidRPr="001D17B2">
              <w:rPr>
                <w:rFonts w:ascii="Times New Roman" w:eastAsia="Times New Roman" w:hAnsi="Times New Roman" w:cs="Times New Roman"/>
                <w:sz w:val="24"/>
                <w:szCs w:val="24"/>
                <w:highlight w:val="green"/>
                <w:lang w:eastAsia="es-ES"/>
              </w:rPr>
              <w:t>1.1 Entrada de vehículos o carruajes en edificios o cocheras particulares, o aparcamientos individuales de propiedad dentro de un aparcamiento general.</w:t>
            </w:r>
          </w:p>
        </w:tc>
        <w:tc>
          <w:tcPr>
            <w:tcW w:w="1004" w:type="dxa"/>
            <w:tcBorders>
              <w:top w:val="single" w:sz="24" w:space="0" w:color="000000"/>
              <w:left w:val="single" w:sz="24" w:space="0" w:color="000000"/>
              <w:bottom w:val="single" w:sz="24" w:space="0" w:color="000000"/>
              <w:right w:val="single" w:sz="24" w:space="0" w:color="000000"/>
            </w:tcBorders>
            <w:vAlign w:val="center"/>
          </w:tcPr>
          <w:p w:rsidR="001D17B2" w:rsidRPr="001C140F" w:rsidRDefault="001C140F"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r w:rsidRPr="001C140F">
              <w:rPr>
                <w:rFonts w:ascii="Times New Roman" w:eastAsia="Times New Roman" w:hAnsi="Times New Roman" w:cs="Times New Roman"/>
                <w:sz w:val="24"/>
                <w:szCs w:val="24"/>
                <w:highlight w:val="green"/>
                <w:lang w:eastAsia="es-ES"/>
              </w:rPr>
              <w:t>……….</w:t>
            </w:r>
          </w:p>
          <w:p w:rsidR="001C140F" w:rsidRPr="001C140F" w:rsidRDefault="001C140F"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r w:rsidRPr="001C140F">
              <w:rPr>
                <w:rFonts w:ascii="Times New Roman" w:eastAsia="Times New Roman" w:hAnsi="Times New Roman" w:cs="Times New Roman"/>
                <w:sz w:val="24"/>
                <w:szCs w:val="24"/>
                <w:highlight w:val="green"/>
                <w:lang w:eastAsia="es-ES"/>
              </w:rPr>
              <w:t>……….</w:t>
            </w:r>
          </w:p>
          <w:p w:rsidR="001C140F" w:rsidRPr="001D17B2" w:rsidRDefault="001C140F"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p>
        </w:tc>
      </w:tr>
      <w:tr w:rsidR="001D17B2" w:rsidRPr="001D17B2" w:rsidTr="00031EDA">
        <w:tblPrEx>
          <w:tblCellMar>
            <w:top w:w="0" w:type="dxa"/>
            <w:bottom w:w="0" w:type="dxa"/>
          </w:tblCellMar>
        </w:tblPrEx>
        <w:trPr>
          <w:trHeight w:val="237"/>
          <w:jc w:val="center"/>
        </w:trPr>
        <w:tc>
          <w:tcPr>
            <w:tcW w:w="8050" w:type="dxa"/>
            <w:tcBorders>
              <w:top w:val="single" w:sz="24" w:space="0" w:color="000000"/>
              <w:left w:val="single" w:sz="2" w:space="0" w:color="000000"/>
              <w:bottom w:val="single" w:sz="24" w:space="0" w:color="000000"/>
              <w:right w:val="single" w:sz="24" w:space="0" w:color="000000"/>
            </w:tcBorders>
            <w:vAlign w:val="center"/>
          </w:tcPr>
          <w:p w:rsidR="001D17B2" w:rsidRPr="001D17B2" w:rsidRDefault="001D17B2"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r w:rsidRPr="001D17B2">
              <w:rPr>
                <w:rFonts w:ascii="Times New Roman" w:eastAsia="Times New Roman" w:hAnsi="Times New Roman" w:cs="Times New Roman"/>
                <w:sz w:val="24"/>
                <w:szCs w:val="24"/>
                <w:highlight w:val="green"/>
                <w:lang w:eastAsia="es-ES"/>
              </w:rPr>
              <w:t>2. Reserva de espacio en las vías públicas y terrenos de uso público (vado permanente):</w:t>
            </w:r>
          </w:p>
          <w:p w:rsidR="001D17B2" w:rsidRPr="001D17B2" w:rsidRDefault="001D17B2"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r w:rsidRPr="001D17B2">
              <w:rPr>
                <w:rFonts w:ascii="Times New Roman" w:eastAsia="Times New Roman" w:hAnsi="Times New Roman" w:cs="Times New Roman"/>
                <w:sz w:val="24"/>
                <w:szCs w:val="24"/>
                <w:highlight w:val="green"/>
                <w:lang w:eastAsia="es-ES"/>
              </w:rPr>
              <w:t>2.1 Reserva de espacio en las vías públicas y terrenos de uso público para el servicio de entidades o particulares, por cada metro lineal o fracción de reserva.</w:t>
            </w:r>
          </w:p>
        </w:tc>
        <w:tc>
          <w:tcPr>
            <w:tcW w:w="1004" w:type="dxa"/>
            <w:tcBorders>
              <w:top w:val="single" w:sz="24" w:space="0" w:color="000000"/>
              <w:left w:val="single" w:sz="24" w:space="0" w:color="000000"/>
              <w:bottom w:val="single" w:sz="24" w:space="0" w:color="000000"/>
              <w:right w:val="single" w:sz="24" w:space="0" w:color="000000"/>
            </w:tcBorders>
            <w:vAlign w:val="center"/>
          </w:tcPr>
          <w:p w:rsidR="001D17B2" w:rsidRPr="001C140F" w:rsidRDefault="001C140F"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r w:rsidRPr="001C140F">
              <w:rPr>
                <w:rFonts w:ascii="Times New Roman" w:eastAsia="Times New Roman" w:hAnsi="Times New Roman" w:cs="Times New Roman"/>
                <w:sz w:val="24"/>
                <w:szCs w:val="24"/>
                <w:highlight w:val="green"/>
                <w:lang w:eastAsia="es-ES"/>
              </w:rPr>
              <w:t>……….</w:t>
            </w:r>
          </w:p>
          <w:p w:rsidR="001C140F" w:rsidRPr="001C140F" w:rsidRDefault="001C140F"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p>
          <w:p w:rsidR="001C140F" w:rsidRPr="001D17B2" w:rsidRDefault="001C140F"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r w:rsidRPr="001C140F">
              <w:rPr>
                <w:rFonts w:ascii="Times New Roman" w:eastAsia="Times New Roman" w:hAnsi="Times New Roman" w:cs="Times New Roman"/>
                <w:sz w:val="24"/>
                <w:szCs w:val="24"/>
                <w:highlight w:val="green"/>
                <w:lang w:eastAsia="es-ES"/>
              </w:rPr>
              <w:t>……….</w:t>
            </w:r>
          </w:p>
        </w:tc>
      </w:tr>
      <w:tr w:rsidR="001D17B2" w:rsidRPr="001D17B2" w:rsidTr="00031EDA">
        <w:tblPrEx>
          <w:tblCellMar>
            <w:top w:w="0" w:type="dxa"/>
            <w:bottom w:w="0" w:type="dxa"/>
          </w:tblCellMar>
        </w:tblPrEx>
        <w:trPr>
          <w:trHeight w:val="237"/>
          <w:jc w:val="center"/>
        </w:trPr>
        <w:tc>
          <w:tcPr>
            <w:tcW w:w="8050" w:type="dxa"/>
            <w:tcBorders>
              <w:top w:val="single" w:sz="24" w:space="0" w:color="000000"/>
              <w:left w:val="single" w:sz="2" w:space="0" w:color="000000"/>
              <w:bottom w:val="single" w:sz="24" w:space="0" w:color="000000"/>
              <w:right w:val="single" w:sz="24" w:space="0" w:color="000000"/>
            </w:tcBorders>
            <w:vAlign w:val="center"/>
          </w:tcPr>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highlight w:val="green"/>
                <w:lang w:eastAsia="es-ES"/>
              </w:rPr>
            </w:pPr>
            <w:r w:rsidRPr="001D17B2">
              <w:rPr>
                <w:rFonts w:ascii="Times New Roman" w:eastAsia="Times New Roman" w:hAnsi="Times New Roman" w:cs="Times New Roman"/>
                <w:sz w:val="24"/>
                <w:szCs w:val="24"/>
                <w:highlight w:val="green"/>
                <w:lang w:eastAsia="es-ES"/>
              </w:rPr>
              <w:t>3. Carga y descarga de mercancías</w:t>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highlight w:val="green"/>
                <w:lang w:eastAsia="es-ES"/>
              </w:rPr>
            </w:pPr>
            <w:r w:rsidRPr="001D17B2">
              <w:rPr>
                <w:rFonts w:ascii="Times New Roman" w:eastAsia="Times New Roman" w:hAnsi="Times New Roman" w:cs="Times New Roman"/>
                <w:sz w:val="24"/>
                <w:szCs w:val="24"/>
                <w:highlight w:val="green"/>
                <w:lang w:eastAsia="es-ES"/>
              </w:rPr>
              <w:t>3.1 Si lleva implícita la interrupción del tráfico rodado o peatonal, al día</w:t>
            </w:r>
          </w:p>
        </w:tc>
        <w:tc>
          <w:tcPr>
            <w:tcW w:w="1004" w:type="dxa"/>
            <w:tcBorders>
              <w:top w:val="single" w:sz="24" w:space="0" w:color="000000"/>
              <w:left w:val="single" w:sz="24" w:space="0" w:color="000000"/>
              <w:bottom w:val="single" w:sz="24" w:space="0" w:color="000000"/>
              <w:right w:val="single" w:sz="24" w:space="0" w:color="000000"/>
            </w:tcBorders>
            <w:vAlign w:val="center"/>
          </w:tcPr>
          <w:p w:rsidR="001D17B2" w:rsidRPr="001C140F" w:rsidRDefault="001C140F"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r w:rsidRPr="001C140F">
              <w:rPr>
                <w:rFonts w:ascii="Times New Roman" w:eastAsia="Times New Roman" w:hAnsi="Times New Roman" w:cs="Times New Roman"/>
                <w:sz w:val="24"/>
                <w:szCs w:val="24"/>
                <w:highlight w:val="green"/>
                <w:lang w:eastAsia="es-ES"/>
              </w:rPr>
              <w:t>………</w:t>
            </w:r>
          </w:p>
          <w:p w:rsidR="001C140F" w:rsidRPr="001D17B2" w:rsidRDefault="001C140F"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r w:rsidRPr="001C140F">
              <w:rPr>
                <w:rFonts w:ascii="Times New Roman" w:eastAsia="Times New Roman" w:hAnsi="Times New Roman" w:cs="Times New Roman"/>
                <w:sz w:val="24"/>
                <w:szCs w:val="24"/>
                <w:highlight w:val="green"/>
                <w:lang w:eastAsia="es-ES"/>
              </w:rPr>
              <w:t>………</w:t>
            </w:r>
          </w:p>
        </w:tc>
      </w:tr>
      <w:tr w:rsidR="001D17B2" w:rsidRPr="001D17B2" w:rsidTr="00031EDA">
        <w:tblPrEx>
          <w:tblCellMar>
            <w:top w:w="0" w:type="dxa"/>
            <w:bottom w:w="0" w:type="dxa"/>
          </w:tblCellMar>
        </w:tblPrEx>
        <w:trPr>
          <w:trHeight w:val="237"/>
          <w:jc w:val="center"/>
        </w:trPr>
        <w:tc>
          <w:tcPr>
            <w:tcW w:w="8050" w:type="dxa"/>
            <w:tcBorders>
              <w:top w:val="single" w:sz="24" w:space="0" w:color="000000"/>
              <w:left w:val="single" w:sz="2" w:space="0" w:color="000000"/>
              <w:bottom w:val="single" w:sz="24" w:space="0" w:color="000000"/>
              <w:right w:val="single" w:sz="24" w:space="0" w:color="000000"/>
            </w:tcBorders>
            <w:vAlign w:val="center"/>
          </w:tcPr>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highlight w:val="green"/>
                <w:lang w:eastAsia="es-ES"/>
              </w:rPr>
            </w:pPr>
            <w:r w:rsidRPr="001D17B2">
              <w:rPr>
                <w:rFonts w:ascii="Times New Roman" w:eastAsia="Times New Roman" w:hAnsi="Times New Roman" w:cs="Times New Roman"/>
                <w:sz w:val="24"/>
                <w:szCs w:val="24"/>
                <w:highlight w:val="green"/>
                <w:lang w:eastAsia="es-ES"/>
              </w:rPr>
              <w:t>3.2 Si no lleva implícita la interrupción del tráfico rodado o peatonal, al día</w:t>
            </w:r>
          </w:p>
        </w:tc>
        <w:tc>
          <w:tcPr>
            <w:tcW w:w="1004" w:type="dxa"/>
            <w:tcBorders>
              <w:top w:val="single" w:sz="24" w:space="0" w:color="000000"/>
              <w:left w:val="single" w:sz="24" w:space="0" w:color="000000"/>
              <w:bottom w:val="single" w:sz="24" w:space="0" w:color="000000"/>
              <w:right w:val="single" w:sz="24" w:space="0" w:color="000000"/>
            </w:tcBorders>
            <w:vAlign w:val="center"/>
          </w:tcPr>
          <w:p w:rsidR="001D17B2" w:rsidRPr="001D17B2" w:rsidRDefault="001C140F"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green"/>
                <w:lang w:eastAsia="es-ES"/>
              </w:rPr>
            </w:pPr>
            <w:r w:rsidRPr="001C140F">
              <w:rPr>
                <w:rFonts w:ascii="Times New Roman" w:eastAsia="Times New Roman" w:hAnsi="Times New Roman" w:cs="Times New Roman"/>
                <w:sz w:val="24"/>
                <w:szCs w:val="24"/>
                <w:highlight w:val="green"/>
                <w:lang w:eastAsia="es-ES"/>
              </w:rPr>
              <w:t>……..</w:t>
            </w:r>
            <w:r w:rsidRPr="001C140F">
              <w:rPr>
                <w:rStyle w:val="Refdenotaalpie"/>
                <w:rFonts w:ascii="Times New Roman" w:eastAsia="Times New Roman" w:hAnsi="Times New Roman" w:cs="Times New Roman"/>
                <w:color w:val="000000"/>
                <w:sz w:val="24"/>
                <w:szCs w:val="24"/>
                <w:highlight w:val="green"/>
                <w:lang w:eastAsia="es-ES"/>
              </w:rPr>
              <w:footnoteReference w:id="5"/>
            </w:r>
          </w:p>
        </w:tc>
      </w:tr>
    </w:tbl>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5.2.- Las cuota señaladas en el cuadro de tarifas tienen carácter irreducible y se corresponden a un año en los casos 1 y 2, cuantificándose por días de uso en el supuesto número 3.</w:t>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r w:rsidRPr="001D17B2">
        <w:rPr>
          <w:rFonts w:ascii="Times New Roman" w:eastAsia="Times New Roman" w:hAnsi="Times New Roman" w:cs="Times New Roman"/>
          <w:b/>
          <w:sz w:val="24"/>
          <w:szCs w:val="24"/>
          <w:lang w:eastAsia="es-ES"/>
        </w:rPr>
        <w:t>Artículo 6</w:t>
      </w:r>
      <w:r w:rsidRPr="001D17B2">
        <w:rPr>
          <w:rFonts w:ascii="Times New Roman" w:eastAsia="Times New Roman" w:hAnsi="Times New Roman" w:cs="Times New Roman"/>
          <w:sz w:val="24"/>
          <w:szCs w:val="24"/>
          <w:lang w:eastAsia="es-ES"/>
        </w:rPr>
        <w:t>.</w:t>
      </w:r>
      <w:r w:rsidRPr="001D17B2">
        <w:rPr>
          <w:rFonts w:ascii="Times New Roman" w:eastAsia="Times New Roman" w:hAnsi="Times New Roman" w:cs="Times New Roman"/>
          <w:b/>
          <w:bCs/>
          <w:sz w:val="24"/>
          <w:szCs w:val="24"/>
          <w:lang w:eastAsia="es-ES"/>
        </w:rPr>
        <w:t xml:space="preserve"> </w:t>
      </w:r>
      <w:r w:rsidRPr="001D17B2">
        <w:rPr>
          <w:rFonts w:ascii="Times New Roman" w:eastAsia="Times New Roman" w:hAnsi="Times New Roman" w:cs="Times New Roman"/>
          <w:b/>
          <w:bCs/>
          <w:sz w:val="24"/>
          <w:szCs w:val="24"/>
          <w:u w:val="single"/>
          <w:lang w:eastAsia="es-ES"/>
        </w:rPr>
        <w:t>EXENCIONES, REDUCCIONES Y DEMÁS BENEFICIOS</w:t>
      </w:r>
      <w:r w:rsidRPr="001D17B2">
        <w:rPr>
          <w:rFonts w:ascii="Times New Roman" w:eastAsia="Times New Roman" w:hAnsi="Times New Roman" w:cs="Times New Roman"/>
          <w:sz w:val="24"/>
          <w:szCs w:val="24"/>
          <w:u w:val="single"/>
          <w:lang w:eastAsia="es-ES"/>
        </w:rPr>
        <w:t>.</w:t>
      </w: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 xml:space="preserve">1.- De conformidad con lo dispuesto en el </w:t>
      </w:r>
      <w:r w:rsidRPr="001D17B2">
        <w:rPr>
          <w:rFonts w:ascii="Times New Roman" w:eastAsia="Times New Roman" w:hAnsi="Times New Roman" w:cs="Times New Roman"/>
          <w:sz w:val="24"/>
          <w:szCs w:val="24"/>
          <w:u w:val="single"/>
          <w:lang w:eastAsia="es-ES"/>
        </w:rPr>
        <w:t>artículo 9 del Real Decreto Legislativo 2/2004</w:t>
      </w:r>
      <w:r w:rsidRPr="001D17B2">
        <w:rPr>
          <w:rFonts w:ascii="Times New Roman" w:eastAsia="Times New Roman" w:hAnsi="Times New Roman" w:cs="Times New Roman"/>
          <w:sz w:val="24"/>
          <w:szCs w:val="24"/>
          <w:lang w:eastAsia="es-ES"/>
        </w:rPr>
        <w:t xml:space="preserve">, de 5 de marzo, por el que se aprueba el Texto Refundido de </w:t>
      </w:r>
      <w:smartTag w:uri="urn:schemas-microsoft-com:office:smarttags" w:element="PersonName">
        <w:smartTagPr>
          <w:attr w:name="ProductID" w:val="la Ley Reguladora"/>
        </w:smartTagPr>
        <w:r w:rsidRPr="001D17B2">
          <w:rPr>
            <w:rFonts w:ascii="Times New Roman" w:eastAsia="Times New Roman" w:hAnsi="Times New Roman" w:cs="Times New Roman"/>
            <w:sz w:val="24"/>
            <w:szCs w:val="24"/>
            <w:lang w:eastAsia="es-ES"/>
          </w:rPr>
          <w:t>la Ley Reguladora</w:t>
        </w:r>
      </w:smartTag>
      <w:r w:rsidRPr="001D17B2">
        <w:rPr>
          <w:rFonts w:ascii="Times New Roman" w:eastAsia="Times New Roman" w:hAnsi="Times New Roman" w:cs="Times New Roman"/>
          <w:sz w:val="24"/>
          <w:szCs w:val="24"/>
          <w:lang w:eastAsia="es-ES"/>
        </w:rPr>
        <w:t xml:space="preserve"> de las Haciendas Locales, no podrán reconocerse otros beneficios fiscales, para la determinación de la deuda tributaria que los sujetos pasivos deban satisfacer por esta Tasa que los expresamente previstos en las normas con rango de Ley o los  derivados de la aplicación de los tratados internaciones.</w:t>
      </w:r>
    </w:p>
    <w:p w:rsidR="001C140F" w:rsidRPr="001D17B2" w:rsidRDefault="001C140F"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sz w:val="24"/>
          <w:szCs w:val="24"/>
          <w:lang w:eastAsia="es-ES"/>
        </w:rPr>
      </w:pPr>
    </w:p>
    <w:p w:rsidR="001D17B2" w:rsidRPr="001D17B2" w:rsidRDefault="001D17B2" w:rsidP="001C140F">
      <w:pPr>
        <w:autoSpaceDE w:val="0"/>
        <w:autoSpaceDN w:val="0"/>
        <w:adjustRightInd w:val="0"/>
        <w:spacing w:after="0" w:line="240" w:lineRule="auto"/>
        <w:rPr>
          <w:rFonts w:ascii="Times New Roman" w:eastAsia="Times New Roman" w:hAnsi="Times New Roman" w:cs="Times New Roman"/>
          <w:sz w:val="24"/>
          <w:szCs w:val="24"/>
          <w:lang w:eastAsia="es-ES"/>
        </w:rPr>
      </w:pPr>
      <w:r w:rsidRPr="001D17B2">
        <w:rPr>
          <w:rFonts w:ascii="Times New Roman" w:eastAsia="Times New Roman" w:hAnsi="Times New Roman" w:cs="Times New Roman"/>
          <w:b/>
          <w:sz w:val="24"/>
          <w:szCs w:val="24"/>
          <w:lang w:eastAsia="es-ES"/>
        </w:rPr>
        <w:t>Artículo 7</w:t>
      </w:r>
      <w:r w:rsidRPr="001D17B2">
        <w:rPr>
          <w:rFonts w:ascii="Times New Roman" w:eastAsia="Times New Roman" w:hAnsi="Times New Roman" w:cs="Times New Roman"/>
          <w:sz w:val="24"/>
          <w:szCs w:val="24"/>
          <w:lang w:eastAsia="es-ES"/>
        </w:rPr>
        <w:t>.</w:t>
      </w:r>
      <w:r w:rsidRPr="001D17B2">
        <w:rPr>
          <w:rFonts w:ascii="Times New Roman" w:eastAsia="Times New Roman" w:hAnsi="Times New Roman" w:cs="Times New Roman"/>
          <w:b/>
          <w:bCs/>
          <w:sz w:val="24"/>
          <w:szCs w:val="24"/>
          <w:lang w:eastAsia="es-ES"/>
        </w:rPr>
        <w:t xml:space="preserve"> </w:t>
      </w:r>
      <w:r w:rsidRPr="001D17B2">
        <w:rPr>
          <w:rFonts w:ascii="Times New Roman" w:eastAsia="Times New Roman" w:hAnsi="Times New Roman" w:cs="Times New Roman"/>
          <w:b/>
          <w:bCs/>
          <w:sz w:val="24"/>
          <w:szCs w:val="24"/>
          <w:u w:val="single"/>
          <w:lang w:eastAsia="es-ES"/>
        </w:rPr>
        <w:t>PERIODO IMPOSITIVO Y DEVENGO</w:t>
      </w:r>
      <w:r w:rsidRPr="001D17B2">
        <w:rPr>
          <w:rFonts w:ascii="Times New Roman" w:eastAsia="Times New Roman" w:hAnsi="Times New Roman" w:cs="Times New Roman"/>
          <w:sz w:val="24"/>
          <w:szCs w:val="24"/>
          <w:u w:val="single"/>
          <w:lang w:eastAsia="es-ES"/>
        </w:rPr>
        <w:t>.</w:t>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color w:val="00B050"/>
          <w:sz w:val="24"/>
          <w:szCs w:val="24"/>
          <w:lang w:eastAsia="es-ES"/>
        </w:rPr>
      </w:pPr>
    </w:p>
    <w:p w:rsidR="001D17B2" w:rsidRPr="001D17B2" w:rsidRDefault="001D17B2"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 xml:space="preserve">7.1. Se devenga la tasa y nace la obligación de contribuir desde el momento en de solicitarse la licencia o de iniciarse el aprovechamiento, cuando no se haya obtenido la correspondiente licencia. En los aprovechamientos continuados, el devengo se </w:t>
      </w:r>
      <w:r w:rsidRPr="001D17B2">
        <w:rPr>
          <w:rFonts w:ascii="Times New Roman" w:eastAsia="Times New Roman" w:hAnsi="Times New Roman" w:cs="Times New Roman"/>
          <w:sz w:val="24"/>
          <w:szCs w:val="24"/>
          <w:lang w:eastAsia="es-ES"/>
        </w:rPr>
        <w:lastRenderedPageBreak/>
        <w:t>producirá, respecto de la totalidad de la cuota, el primer día del año natural, cualquiera que sea el tiempo de duración del aprovechamiento.</w:t>
      </w:r>
    </w:p>
    <w:p w:rsidR="001D17B2" w:rsidRPr="001D17B2" w:rsidRDefault="001D17B2"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 xml:space="preserve">7.2. Establecido y en funcionamiento el referido servicio, las cuotas se devengarán el primer día de cada periodo natural. En los casos de altas se producirá el devengo en la fecha en que se produzca el alta, devengándose íntegro el periodo en que se produzca la misma. </w:t>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r w:rsidRPr="001D17B2">
        <w:rPr>
          <w:rFonts w:ascii="Times New Roman" w:eastAsia="Times New Roman" w:hAnsi="Times New Roman" w:cs="Times New Roman"/>
          <w:b/>
          <w:sz w:val="24"/>
          <w:szCs w:val="24"/>
          <w:lang w:eastAsia="es-ES"/>
        </w:rPr>
        <w:t>Artículo 8</w:t>
      </w:r>
      <w:r w:rsidRPr="001D17B2">
        <w:rPr>
          <w:rFonts w:ascii="Times New Roman" w:eastAsia="Times New Roman" w:hAnsi="Times New Roman" w:cs="Times New Roman"/>
          <w:sz w:val="24"/>
          <w:szCs w:val="24"/>
          <w:lang w:eastAsia="es-ES"/>
        </w:rPr>
        <w:t>.</w:t>
      </w:r>
      <w:r w:rsidRPr="001D17B2">
        <w:rPr>
          <w:rFonts w:ascii="Times New Roman" w:eastAsia="Times New Roman" w:hAnsi="Times New Roman" w:cs="Times New Roman"/>
          <w:b/>
          <w:bCs/>
          <w:sz w:val="24"/>
          <w:szCs w:val="24"/>
          <w:lang w:eastAsia="es-ES"/>
        </w:rPr>
        <w:t xml:space="preserve"> </w:t>
      </w:r>
      <w:r w:rsidRPr="001D17B2">
        <w:rPr>
          <w:rFonts w:ascii="Times New Roman" w:eastAsia="Times New Roman" w:hAnsi="Times New Roman" w:cs="Times New Roman"/>
          <w:b/>
          <w:bCs/>
          <w:sz w:val="24"/>
          <w:szCs w:val="24"/>
          <w:u w:val="single"/>
          <w:lang w:eastAsia="es-ES"/>
        </w:rPr>
        <w:t>NORMAS DE GESTIÓN</w:t>
      </w:r>
      <w:r w:rsidRPr="001D17B2">
        <w:rPr>
          <w:rFonts w:ascii="Times New Roman" w:eastAsia="Times New Roman" w:hAnsi="Times New Roman" w:cs="Times New Roman"/>
          <w:sz w:val="24"/>
          <w:szCs w:val="24"/>
          <w:u w:val="single"/>
          <w:lang w:eastAsia="es-ES"/>
        </w:rPr>
        <w:t>.</w:t>
      </w:r>
    </w:p>
    <w:p w:rsidR="001D17B2" w:rsidRPr="001D17B2" w:rsidRDefault="001D17B2" w:rsidP="001D17B2">
      <w:pPr>
        <w:autoSpaceDE w:val="0"/>
        <w:autoSpaceDN w:val="0"/>
        <w:adjustRightInd w:val="0"/>
        <w:spacing w:after="0"/>
        <w:jc w:val="both"/>
        <w:rPr>
          <w:rFonts w:ascii="Times New Roman" w:eastAsia="Times New Roman" w:hAnsi="Times New Roman" w:cs="Times New Roman"/>
          <w:color w:val="FF0000"/>
          <w:sz w:val="24"/>
          <w:szCs w:val="24"/>
          <w:lang w:eastAsia="es-ES"/>
        </w:rPr>
      </w:pPr>
    </w:p>
    <w:p w:rsidR="001D17B2" w:rsidRPr="001D17B2" w:rsidRDefault="001D17B2" w:rsidP="001D17B2">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 xml:space="preserve">8.1. Tomando como base el ejercicio precedente, el Ayuntamiento confeccionará el padrón, incorporando las altas, bajas y modificaciones que se hubiesen producido, a través de licencias de aperturas, actas de inspección, declaraciones de los interesados y cualquier otro elemento que permita tener constancia fehaciente del hecho imponible. </w:t>
      </w:r>
    </w:p>
    <w:p w:rsidR="001D17B2" w:rsidRPr="001D17B2" w:rsidRDefault="001D17B2" w:rsidP="001D17B2">
      <w:pPr>
        <w:spacing w:after="0"/>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8.2. Se constituirá un depósito previo en el momento de la solicitud, correspondiente a la cuota del ejercicio en que esta se formula. Podrá establecerse la obligación de autoliquidar el importe e ingresar simultáneamente la cantidad resultante. Concedida la licencia, la misma resolución por la que se resuelva el expediente, aprobará una liquidación provisional a la que se aplicará el depósito constituido practicando las devoluciones o las liquidaciones complementarias que procedan. En caso de denegarse la licencia, se devolverá el depósito, salvo que se acredite la utilización de la entrada o reserva. Se exigirá el depósito previo de la cuota, que deberá ingresarse al tiempo de solicitar la autorización preceptiva.</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8.3. Las cuotas de devengo periódico se consignarán en un Padrón que será  elaborado anualmente por el Ayuntamiento, incorporando las variaciones, altas y</w:t>
      </w:r>
      <w:r w:rsidRPr="001D17B2">
        <w:rPr>
          <w:rFonts w:ascii="Times New Roman" w:eastAsia="Times New Roman" w:hAnsi="Times New Roman" w:cs="Times New Roman"/>
          <w:color w:val="00B050"/>
          <w:sz w:val="24"/>
          <w:szCs w:val="24"/>
          <w:lang w:eastAsia="es-ES"/>
        </w:rPr>
        <w:t xml:space="preserve"> </w:t>
      </w:r>
      <w:r w:rsidRPr="001D17B2">
        <w:rPr>
          <w:rFonts w:ascii="Times New Roman" w:eastAsia="Times New Roman" w:hAnsi="Times New Roman" w:cs="Times New Roman"/>
          <w:sz w:val="24"/>
          <w:szCs w:val="24"/>
          <w:lang w:eastAsia="es-ES"/>
        </w:rPr>
        <w:t>bajas producidas en el ejercicio anterior, que permitirá la gestión y recaudación de la presente tasa mediante recibos a satisfacer dentro del reglamentario periodo de cobranza.</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8.4. Las personas físicas o jurídicas y las entidades interesadas en la concesión de aprovechamientos regulados en esta ordenanza, deberán solicitar (conforme a modelo aprobado al efecto) previamente la correspondiente licencia con detalle del aprovechamiento a realizar especificando:</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ab/>
        <w:t>1. Número de plazas</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ab/>
        <w:t>2. Longitud o superficie a ocupar</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ab/>
        <w:t>3. Plano de situación de la cartografía municipal</w:t>
      </w:r>
    </w:p>
    <w:p w:rsidR="001D17B2" w:rsidRPr="001D17B2" w:rsidRDefault="001D17B2" w:rsidP="001C140F">
      <w:pPr>
        <w:autoSpaceDE w:val="0"/>
        <w:autoSpaceDN w:val="0"/>
        <w:adjustRightInd w:val="0"/>
        <w:spacing w:after="0"/>
        <w:ind w:left="708"/>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4. Nombre de los propietarios del inmueble para el caso de las entradas de vehículos</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ab/>
        <w:t>5. Nombre del beneficiario para las reservas y carga y descarga de mercancías.</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ab/>
        <w:t>6. Licencia de primera utilización o Cédula de Habitabilidad en su caso.</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ab/>
        <w:t>7. Licencia de apertura de establecimiento si es para una Actividad industrial.</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lastRenderedPageBreak/>
        <w:t>Además, los servicios del Ayuntamiento podrán requerir en función de informe técnico municipal que lo justifique:</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p>
    <w:p w:rsidR="001D17B2" w:rsidRPr="001D17B2" w:rsidRDefault="001D17B2" w:rsidP="001C140F">
      <w:pPr>
        <w:autoSpaceDE w:val="0"/>
        <w:autoSpaceDN w:val="0"/>
        <w:adjustRightInd w:val="0"/>
        <w:spacing w:after="0"/>
        <w:ind w:left="705"/>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1. Croquis en planta con acotación de la Superficie de la Cochera (entrada de vehículos)</w:t>
      </w:r>
    </w:p>
    <w:p w:rsidR="001D17B2" w:rsidRPr="001D17B2" w:rsidRDefault="001D17B2" w:rsidP="001C140F">
      <w:pPr>
        <w:autoSpaceDE w:val="0"/>
        <w:autoSpaceDN w:val="0"/>
        <w:adjustRightInd w:val="0"/>
        <w:spacing w:after="0"/>
        <w:ind w:left="705"/>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2. Croquis en planta con indicación de la longitud a ocupar y superficie (reservas de aparcamiento en vía pública).</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ab/>
        <w:t>3. Memoria explicativa del uso (reservas de estacionamientos).</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8.5. Los servicios técnicos de este Ayuntamiento comprobarán e investigarán las declaraciones formuladas por los interesados, en la solicitud formulada concediéndose, en su caso, las autorizaciones de no encontrar diferencias con las peticiones de licencias y, de no existir circunstancias de tipo técnico, vial o circulatorio que la desaconsejaren.</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8.6. La concesión de la licencia de primera utilización para aquellas viviendas o inmuebles que incluyan los correspondientes garajes, conllevará la liquidación automática por la Administración de la Tasa objeto de la presente Ordenanza.</w:t>
      </w:r>
    </w:p>
    <w:p w:rsidR="001D17B2" w:rsidRPr="001D17B2" w:rsidRDefault="001D17B2" w:rsidP="001D17B2">
      <w:pPr>
        <w:autoSpaceDE w:val="0"/>
        <w:autoSpaceDN w:val="0"/>
        <w:adjustRightInd w:val="0"/>
        <w:spacing w:after="0"/>
        <w:jc w:val="both"/>
        <w:rPr>
          <w:rFonts w:ascii="Times New Roman" w:eastAsia="Times New Roman" w:hAnsi="Times New Roman" w:cs="Times New Roman"/>
          <w:color w:val="00B050"/>
          <w:sz w:val="24"/>
          <w:szCs w:val="24"/>
          <w:lang w:eastAsia="es-ES"/>
        </w:rPr>
      </w:pP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8.7. Una vez autorizado se entenderá prorrogado mientras no se presente la declaración de baja por el interesado o por sus legítimos representantes en caso de fallecimiento, que surtirá efectos a partir del 1 de enero del año siguiente a  aquel en que se presente la declaración.</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8.8 Cuando se realicen aprovechamientos sin licencia o excediendo de lo autorizado, se practicarán de oficio las liquidaciones que correspondan y se impondrán las sanciones que procedan. El pago de la tasa no supone la adquisición del derecho a realizar el aprovechamiento, pudiendo la administración municipal adoptar las medidas que procedan para evitar la continuación de aquellos que no puedan ser autorizados por no cumplir las condiciones requeridas, si bien la actuación municipal en este sentido provocará la baja en matrícula.</w:t>
      </w:r>
    </w:p>
    <w:p w:rsidR="001D17B2" w:rsidRPr="001D17B2" w:rsidRDefault="001D17B2" w:rsidP="001D17B2">
      <w:pPr>
        <w:autoSpaceDE w:val="0"/>
        <w:autoSpaceDN w:val="0"/>
        <w:adjustRightInd w:val="0"/>
        <w:spacing w:after="0"/>
        <w:jc w:val="both"/>
        <w:rPr>
          <w:rFonts w:ascii="Times New Roman" w:eastAsia="Times New Roman" w:hAnsi="Times New Roman" w:cs="Times New Roman"/>
          <w:sz w:val="24"/>
          <w:szCs w:val="24"/>
          <w:lang w:eastAsia="es-ES"/>
        </w:rPr>
      </w:pPr>
    </w:p>
    <w:p w:rsidR="001D17B2" w:rsidRPr="001D17B2" w:rsidRDefault="001D17B2" w:rsidP="001D17B2">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 xml:space="preserve">8.9. En los casos de alta, la declaración podrá ser sustituida por la autoliquidación, sistema por el cual podrá exigirse el ingreso en los casos de inicio del aprovechamiento. </w:t>
      </w:r>
    </w:p>
    <w:p w:rsidR="001D17B2" w:rsidRPr="001D17B2" w:rsidRDefault="001D17B2" w:rsidP="001D17B2">
      <w:pPr>
        <w:spacing w:after="0"/>
        <w:jc w:val="both"/>
        <w:rPr>
          <w:rFonts w:ascii="Times New Roman" w:eastAsia="Times New Roman" w:hAnsi="Times New Roman" w:cs="Times New Roman"/>
          <w:sz w:val="24"/>
          <w:szCs w:val="24"/>
          <w:lang w:eastAsia="es-ES"/>
        </w:rPr>
      </w:pPr>
    </w:p>
    <w:p w:rsidR="001D17B2" w:rsidRPr="001D17B2" w:rsidRDefault="001D17B2" w:rsidP="001D17B2">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 xml:space="preserve">8.10. Las variaciones de los datos figurados en la matrícula, surtirán efectos a partir del período de cobranza siguiente al de la fecha en que se haya efectuado la declaración. </w:t>
      </w:r>
    </w:p>
    <w:p w:rsidR="001D17B2" w:rsidRPr="001D17B2" w:rsidRDefault="001D17B2" w:rsidP="001D17B2">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1D17B2" w:rsidRDefault="001D17B2" w:rsidP="001D17B2">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 xml:space="preserve">8.11. Las cuotas exigibles, una vez incluido en el padrón, se efectuarán mediante recibo. La facturación y cobro del recibo se hará anualmente. </w:t>
      </w:r>
    </w:p>
    <w:p w:rsidR="001D17B2" w:rsidRDefault="001D17B2" w:rsidP="001D17B2">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1D17B2" w:rsidRDefault="001D17B2" w:rsidP="001D17B2">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1D17B2" w:rsidRPr="001D17B2" w:rsidRDefault="001D17B2" w:rsidP="001D17B2">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1D17B2" w:rsidRPr="001D17B2" w:rsidRDefault="001D17B2" w:rsidP="001D17B2">
      <w:pPr>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color w:val="FF0000"/>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sz w:val="24"/>
          <w:szCs w:val="24"/>
          <w:u w:val="single"/>
          <w:lang w:eastAsia="es-ES"/>
        </w:rPr>
      </w:pPr>
      <w:r w:rsidRPr="001D17B2">
        <w:rPr>
          <w:rFonts w:ascii="Times New Roman" w:eastAsia="Times New Roman" w:hAnsi="Times New Roman" w:cs="Times New Roman"/>
          <w:b/>
          <w:sz w:val="24"/>
          <w:szCs w:val="24"/>
          <w:lang w:eastAsia="es-ES"/>
        </w:rPr>
        <w:lastRenderedPageBreak/>
        <w:t>Artículo 9</w:t>
      </w:r>
      <w:r w:rsidRPr="001D17B2">
        <w:rPr>
          <w:rFonts w:ascii="Times New Roman" w:eastAsia="Times New Roman" w:hAnsi="Times New Roman" w:cs="Times New Roman"/>
          <w:b/>
          <w:bCs/>
          <w:sz w:val="24"/>
          <w:szCs w:val="24"/>
          <w:lang w:eastAsia="es-ES"/>
        </w:rPr>
        <w:t xml:space="preserve">. </w:t>
      </w:r>
      <w:r w:rsidRPr="001D17B2">
        <w:rPr>
          <w:rFonts w:ascii="Times New Roman" w:eastAsia="Times New Roman" w:hAnsi="Times New Roman" w:cs="Times New Roman"/>
          <w:b/>
          <w:bCs/>
          <w:sz w:val="24"/>
          <w:szCs w:val="24"/>
          <w:u w:val="single"/>
          <w:lang w:eastAsia="es-ES"/>
        </w:rPr>
        <w:t>OBLIGACIONES MATERIALES Y FORMALES</w:t>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sz w:val="24"/>
          <w:szCs w:val="24"/>
          <w:u w:val="single"/>
          <w:lang w:eastAsia="es-ES"/>
        </w:rPr>
      </w:pP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 xml:space="preserve">9.1. El coste de las obras y reformas que sean necesarias para el disfruto del aprovechamiento no están comprendidos en la tarifa y serán siempre </w:t>
      </w:r>
      <w:proofErr w:type="spellStart"/>
      <w:r w:rsidRPr="001D17B2">
        <w:rPr>
          <w:rFonts w:ascii="Times New Roman" w:eastAsia="Times New Roman" w:hAnsi="Times New Roman" w:cs="Times New Roman"/>
          <w:sz w:val="24"/>
          <w:szCs w:val="24"/>
          <w:lang w:eastAsia="es-ES"/>
        </w:rPr>
        <w:t>de</w:t>
      </w:r>
      <w:proofErr w:type="spellEnd"/>
      <w:r w:rsidRPr="001D17B2">
        <w:rPr>
          <w:rFonts w:ascii="Times New Roman" w:eastAsia="Times New Roman" w:hAnsi="Times New Roman" w:cs="Times New Roman"/>
          <w:sz w:val="24"/>
          <w:szCs w:val="24"/>
          <w:lang w:eastAsia="es-ES"/>
        </w:rPr>
        <w:t xml:space="preserve"> cuenta de los interesados, quienes, en todo caso, deberán proveerse de la correspondiente licencia urbanística.</w:t>
      </w: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Asimismo, será de cuenta de los interesados la instalación de las medidas de seguridad, higiene y de índole estética de los elementos que sean necesarios por razones de naturaleza legal o en cumplimiento de las instrucciones de la Administración Municipal.</w:t>
      </w: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9.2. Cuando la utilización privativa o el aprovechamiento especial lleve aparejada la destrucción o deterioro del dominio público local, el beneficiario, sin perjuicio del pago de la tasa a que hubiera lugar, estará obligado al reintegro del coste total de los respectivos gastos de reconstrucción o reparación y al depósito previo de su</w:t>
      </w:r>
      <w:r w:rsidRPr="001D17B2">
        <w:rPr>
          <w:rFonts w:ascii="Times New Roman" w:eastAsia="Times New Roman" w:hAnsi="Times New Roman" w:cs="Times New Roman"/>
          <w:color w:val="00B050"/>
          <w:sz w:val="24"/>
          <w:szCs w:val="24"/>
          <w:lang w:eastAsia="es-ES"/>
        </w:rPr>
        <w:t xml:space="preserve"> </w:t>
      </w:r>
      <w:r w:rsidRPr="001D17B2">
        <w:rPr>
          <w:rFonts w:ascii="Times New Roman" w:eastAsia="Times New Roman" w:hAnsi="Times New Roman" w:cs="Times New Roman"/>
          <w:sz w:val="24"/>
          <w:szCs w:val="24"/>
          <w:lang w:eastAsia="es-ES"/>
        </w:rPr>
        <w:t>importe. Si los daños fueran irreparables la Entidad será indemnizada en cuantía igual al valor de los bienes destruidos o el importe del deterioro de los dañados.</w:t>
      </w: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D17B2">
        <w:rPr>
          <w:rFonts w:ascii="Times New Roman" w:eastAsia="Times New Roman" w:hAnsi="Times New Roman" w:cs="Times New Roman"/>
          <w:sz w:val="24"/>
          <w:szCs w:val="24"/>
          <w:lang w:eastAsia="es-ES"/>
        </w:rPr>
        <w:t>Las Entidades Locales no podrán condonar total ni parcialmente las indemnizaciones y reintegros a que se refiere el presente artículo.</w:t>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color w:val="FF0000"/>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b/>
          <w:bCs/>
          <w:color w:val="FF0000"/>
          <w:sz w:val="24"/>
          <w:szCs w:val="24"/>
          <w:lang w:eastAsia="es-ES"/>
        </w:rPr>
      </w:pP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u w:val="single"/>
          <w:lang w:eastAsia="es-ES"/>
        </w:rPr>
      </w:pPr>
      <w:r w:rsidRPr="001D17B2">
        <w:rPr>
          <w:rFonts w:ascii="Times New Roman" w:eastAsia="Times New Roman" w:hAnsi="Times New Roman" w:cs="Times New Roman"/>
          <w:b/>
          <w:sz w:val="24"/>
          <w:szCs w:val="24"/>
          <w:lang w:eastAsia="es-ES"/>
        </w:rPr>
        <w:t>Artículo 10</w:t>
      </w:r>
      <w:r w:rsidRPr="001D17B2">
        <w:rPr>
          <w:rFonts w:ascii="Times New Roman" w:eastAsia="Times New Roman" w:hAnsi="Times New Roman" w:cs="Times New Roman"/>
          <w:b/>
          <w:bCs/>
          <w:sz w:val="24"/>
          <w:szCs w:val="24"/>
          <w:lang w:eastAsia="es-ES"/>
        </w:rPr>
        <w:t xml:space="preserve">. </w:t>
      </w:r>
      <w:r w:rsidRPr="001D17B2">
        <w:rPr>
          <w:rFonts w:ascii="Times New Roman" w:eastAsia="Times New Roman" w:hAnsi="Times New Roman" w:cs="Times New Roman"/>
          <w:b/>
          <w:bCs/>
          <w:sz w:val="24"/>
          <w:szCs w:val="24"/>
          <w:u w:val="single"/>
          <w:lang w:eastAsia="es-ES"/>
        </w:rPr>
        <w:t>INFRACCIONES Y SANCIONES TRIBUTARIAS</w:t>
      </w:r>
      <w:r w:rsidRPr="001D17B2">
        <w:rPr>
          <w:rFonts w:ascii="Times New Roman" w:eastAsia="Times New Roman" w:hAnsi="Times New Roman" w:cs="Times New Roman"/>
          <w:sz w:val="24"/>
          <w:szCs w:val="24"/>
          <w:u w:val="single"/>
          <w:lang w:eastAsia="es-ES"/>
        </w:rPr>
        <w:t xml:space="preserve">. </w:t>
      </w:r>
    </w:p>
    <w:p w:rsidR="001D17B2" w:rsidRPr="001D17B2" w:rsidRDefault="001D17B2" w:rsidP="001D17B2">
      <w:pPr>
        <w:autoSpaceDE w:val="0"/>
        <w:autoSpaceDN w:val="0"/>
        <w:adjustRightInd w:val="0"/>
        <w:spacing w:after="0" w:line="240" w:lineRule="auto"/>
        <w:rPr>
          <w:rFonts w:ascii="Times New Roman" w:eastAsia="Times New Roman" w:hAnsi="Times New Roman" w:cs="Times New Roman"/>
          <w:sz w:val="24"/>
          <w:szCs w:val="24"/>
          <w:lang w:eastAsia="es-ES"/>
        </w:rPr>
      </w:pPr>
    </w:p>
    <w:p w:rsidR="001D17B2" w:rsidRPr="001D17B2" w:rsidRDefault="001D17B2" w:rsidP="001D17B2">
      <w:pPr>
        <w:autoSpaceDE w:val="0"/>
        <w:autoSpaceDN w:val="0"/>
        <w:adjustRightInd w:val="0"/>
        <w:spacing w:after="0" w:line="240" w:lineRule="auto"/>
        <w:jc w:val="both"/>
        <w:rPr>
          <w:rFonts w:ascii="Times New Roman" w:eastAsia="Times New Roman" w:hAnsi="Times New Roman" w:cs="Times New Roman"/>
          <w:b/>
          <w:bCs/>
          <w:color w:val="FF0000"/>
          <w:sz w:val="24"/>
          <w:szCs w:val="24"/>
          <w:lang w:eastAsia="es-ES"/>
        </w:rPr>
      </w:pPr>
      <w:r w:rsidRPr="001D17B2">
        <w:rPr>
          <w:rFonts w:ascii="Times New Roman" w:eastAsia="Times New Roman" w:hAnsi="Times New Roman" w:cs="Times New Roman"/>
          <w:color w:val="000000"/>
          <w:sz w:val="24"/>
          <w:szCs w:val="24"/>
          <w:lang w:eastAsia="es-ES"/>
        </w:rPr>
        <w:t xml:space="preserve">En todo lo relativo a la calificación de las infracciones tributarias, así como a la determinación de las sanciones que por las mismas correspondan en cada caso, se aplicarán los preceptos de contenidos en los </w:t>
      </w:r>
      <w:r w:rsidRPr="001D17B2">
        <w:rPr>
          <w:rFonts w:ascii="Times New Roman" w:eastAsia="Times New Roman" w:hAnsi="Times New Roman" w:cs="Times New Roman"/>
          <w:color w:val="000000"/>
          <w:sz w:val="24"/>
          <w:szCs w:val="24"/>
          <w:u w:val="single"/>
          <w:lang w:eastAsia="es-ES"/>
        </w:rPr>
        <w:t xml:space="preserve">arts. 178 y ss. </w:t>
      </w:r>
      <w:proofErr w:type="gramStart"/>
      <w:r w:rsidRPr="001D17B2">
        <w:rPr>
          <w:rFonts w:ascii="Times New Roman" w:eastAsia="Times New Roman" w:hAnsi="Times New Roman" w:cs="Times New Roman"/>
          <w:color w:val="000000"/>
          <w:sz w:val="24"/>
          <w:szCs w:val="24"/>
          <w:u w:val="single"/>
          <w:lang w:eastAsia="es-ES"/>
        </w:rPr>
        <w:t>de</w:t>
      </w:r>
      <w:proofErr w:type="gramEnd"/>
      <w:r w:rsidRPr="001D17B2">
        <w:rPr>
          <w:rFonts w:ascii="Times New Roman" w:eastAsia="Times New Roman" w:hAnsi="Times New Roman" w:cs="Times New Roman"/>
          <w:color w:val="000000"/>
          <w:sz w:val="24"/>
          <w:szCs w:val="24"/>
          <w:u w:val="single"/>
          <w:lang w:eastAsia="es-ES"/>
        </w:rPr>
        <w:t xml:space="preserve"> la Ley 58/2003</w:t>
      </w:r>
      <w:r w:rsidRPr="001D17B2">
        <w:rPr>
          <w:rFonts w:ascii="Times New Roman" w:eastAsia="Times New Roman" w:hAnsi="Times New Roman" w:cs="Times New Roman"/>
          <w:color w:val="000000"/>
          <w:sz w:val="24"/>
          <w:szCs w:val="24"/>
          <w:lang w:eastAsia="es-ES"/>
        </w:rPr>
        <w:t xml:space="preserve">, de 17 de diciembre, General Tributaria, normativa que la desarrolle, y en su caso, </w:t>
      </w:r>
      <w:smartTag w:uri="urn:schemas-microsoft-com:office:smarttags" w:element="PersonName">
        <w:smartTagPr>
          <w:attr w:name="ProductID" w:val="la Ordenanza General"/>
        </w:smartTagPr>
        <w:r w:rsidRPr="001D17B2">
          <w:rPr>
            <w:rFonts w:ascii="Times New Roman" w:eastAsia="Times New Roman" w:hAnsi="Times New Roman" w:cs="Times New Roman"/>
            <w:color w:val="000000"/>
            <w:sz w:val="24"/>
            <w:szCs w:val="24"/>
            <w:lang w:eastAsia="es-ES"/>
          </w:rPr>
          <w:t>la Ordenanza General</w:t>
        </w:r>
      </w:smartTag>
      <w:r w:rsidRPr="001D17B2">
        <w:rPr>
          <w:rFonts w:ascii="Times New Roman" w:eastAsia="Times New Roman" w:hAnsi="Times New Roman" w:cs="Times New Roman"/>
          <w:color w:val="000000"/>
          <w:sz w:val="24"/>
          <w:szCs w:val="24"/>
          <w:lang w:eastAsia="es-ES"/>
        </w:rPr>
        <w:t xml:space="preserve"> de Gestión Inspección y Recaudación en vigor.</w:t>
      </w:r>
    </w:p>
    <w:p w:rsidR="001D17B2" w:rsidRDefault="001D17B2" w:rsidP="001D17B2">
      <w:pPr>
        <w:jc w:val="both"/>
      </w:pPr>
    </w:p>
    <w:p w:rsidR="001C140F" w:rsidRPr="00462B44" w:rsidRDefault="001C140F" w:rsidP="001C140F">
      <w:pPr>
        <w:spacing w:before="100" w:beforeAutospacing="1" w:after="100" w:afterAutospacing="1"/>
        <w:jc w:val="both"/>
        <w:rPr>
          <w:rFonts w:ascii="Times New Roman" w:eastAsiaTheme="minorEastAsia" w:hAnsi="Times New Roman" w:cs="Times New Roman"/>
          <w:b/>
          <w:color w:val="000000"/>
          <w:sz w:val="24"/>
          <w:szCs w:val="24"/>
          <w:lang w:eastAsia="es-ES"/>
        </w:rPr>
      </w:pPr>
      <w:r w:rsidRPr="00462B44">
        <w:rPr>
          <w:rFonts w:ascii="Times New Roman" w:eastAsiaTheme="minorEastAsia" w:hAnsi="Times New Roman" w:cs="Times New Roman"/>
          <w:b/>
          <w:color w:val="000000"/>
          <w:sz w:val="24"/>
          <w:szCs w:val="24"/>
          <w:lang w:eastAsia="es-ES"/>
        </w:rPr>
        <w:t>DISPOSICIÓN ADICIONAL ÚNICA. MODIFICACIONES DEL IMPUESTO.</w:t>
      </w:r>
    </w:p>
    <w:p w:rsidR="001C140F" w:rsidRPr="00462B44" w:rsidRDefault="001C140F" w:rsidP="001C140F">
      <w:pPr>
        <w:spacing w:before="100" w:beforeAutospacing="1" w:after="100" w:afterAutospacing="1"/>
        <w:jc w:val="both"/>
        <w:rPr>
          <w:rFonts w:ascii="Times New Roman" w:eastAsiaTheme="minorEastAsia" w:hAnsi="Times New Roman" w:cs="Times New Roman"/>
          <w:color w:val="000000"/>
          <w:sz w:val="24"/>
          <w:szCs w:val="24"/>
          <w:lang w:eastAsia="es-ES"/>
        </w:rPr>
      </w:pPr>
      <w:r w:rsidRPr="00462B44">
        <w:rPr>
          <w:rFonts w:ascii="Times New Roman" w:eastAsiaTheme="minorEastAsia" w:hAnsi="Times New Roman" w:cs="Times New Roman"/>
          <w:color w:val="000000"/>
          <w:sz w:val="24"/>
          <w:szCs w:val="24"/>
          <w:lang w:eastAsia="es-ES"/>
        </w:rPr>
        <w:t xml:space="preserve">Las modificaciones que se </w:t>
      </w:r>
      <w:r>
        <w:rPr>
          <w:rFonts w:ascii="Times New Roman" w:eastAsiaTheme="minorEastAsia" w:hAnsi="Times New Roman" w:cs="Times New Roman"/>
          <w:color w:val="000000"/>
          <w:sz w:val="24"/>
          <w:szCs w:val="24"/>
          <w:lang w:eastAsia="es-ES"/>
        </w:rPr>
        <w:t>introduzcan en la regulación de la Tasa</w:t>
      </w:r>
      <w:r w:rsidRPr="00462B44">
        <w:rPr>
          <w:rFonts w:ascii="Times New Roman" w:eastAsiaTheme="minorEastAsia" w:hAnsi="Times New Roman" w:cs="Times New Roman"/>
          <w:color w:val="000000"/>
          <w:sz w:val="24"/>
          <w:szCs w:val="24"/>
          <w:lang w:eastAsia="es-ES"/>
        </w:rPr>
        <w:t xml:space="preserve">, por las Leyes de Presupuestos Generales del Estado o por cualesquiera otras leyes o disposiciones, y que resulten de aplicación directa, producirán, en su caso, la correspondiente modificación </w:t>
      </w:r>
      <w:r>
        <w:rPr>
          <w:rFonts w:ascii="Times New Roman" w:eastAsiaTheme="minorEastAsia" w:hAnsi="Times New Roman" w:cs="Times New Roman"/>
          <w:color w:val="000000"/>
          <w:sz w:val="24"/>
          <w:szCs w:val="24"/>
          <w:lang w:eastAsia="es-ES"/>
        </w:rPr>
        <w:t>tácita de la presente Ordenanza F</w:t>
      </w:r>
      <w:r w:rsidRPr="00462B44">
        <w:rPr>
          <w:rFonts w:ascii="Times New Roman" w:eastAsiaTheme="minorEastAsia" w:hAnsi="Times New Roman" w:cs="Times New Roman"/>
          <w:color w:val="000000"/>
          <w:sz w:val="24"/>
          <w:szCs w:val="24"/>
          <w:lang w:eastAsia="es-ES"/>
        </w:rPr>
        <w:t>iscal.</w:t>
      </w:r>
    </w:p>
    <w:p w:rsidR="001C140F" w:rsidRPr="00462B44" w:rsidRDefault="001C140F" w:rsidP="001C140F">
      <w:pPr>
        <w:spacing w:before="100" w:beforeAutospacing="1" w:after="100" w:afterAutospacing="1"/>
        <w:jc w:val="both"/>
        <w:rPr>
          <w:rFonts w:ascii="Times New Roman" w:eastAsiaTheme="minorEastAsia" w:hAnsi="Times New Roman" w:cs="Times New Roman"/>
          <w:b/>
          <w:color w:val="000000"/>
          <w:sz w:val="24"/>
          <w:szCs w:val="24"/>
          <w:lang w:eastAsia="es-ES"/>
        </w:rPr>
      </w:pPr>
      <w:r w:rsidRPr="00773224">
        <w:rPr>
          <w:rFonts w:ascii="Times New Roman" w:eastAsiaTheme="minorEastAsia" w:hAnsi="Times New Roman" w:cs="Times New Roman"/>
          <w:b/>
          <w:color w:val="000000"/>
          <w:sz w:val="24"/>
          <w:szCs w:val="24"/>
          <w:highlight w:val="red"/>
          <w:lang w:eastAsia="es-ES"/>
        </w:rPr>
        <w:t>DISPOSICIÓN FINAL ÚNICA. APROBACIÓN, ENTRADA EN VIGOR Y MODIFICACIÓN DE LA ORDENANZA FISCAL.</w:t>
      </w:r>
      <w:r>
        <w:rPr>
          <w:rStyle w:val="Refdenotaalpie"/>
          <w:rFonts w:ascii="Times New Roman" w:eastAsiaTheme="minorEastAsia" w:hAnsi="Times New Roman" w:cs="Times New Roman"/>
          <w:b/>
          <w:color w:val="000000"/>
          <w:sz w:val="24"/>
          <w:szCs w:val="24"/>
          <w:highlight w:val="red"/>
          <w:lang w:eastAsia="es-ES"/>
        </w:rPr>
        <w:footnoteReference w:id="6"/>
      </w:r>
    </w:p>
    <w:p w:rsidR="001C140F" w:rsidRPr="001C140F" w:rsidRDefault="001C140F" w:rsidP="001C140F">
      <w:pPr>
        <w:spacing w:before="100" w:beforeAutospacing="1" w:after="100" w:afterAutospacing="1"/>
        <w:jc w:val="both"/>
        <w:rPr>
          <w:rFonts w:ascii="Times New Roman" w:eastAsiaTheme="minorEastAsia" w:hAnsi="Times New Roman" w:cs="Times New Roman"/>
          <w:color w:val="000000"/>
          <w:sz w:val="24"/>
          <w:szCs w:val="24"/>
          <w:lang w:eastAsia="es-ES"/>
        </w:rPr>
      </w:pPr>
      <w:r w:rsidRPr="00462B44">
        <w:rPr>
          <w:rFonts w:ascii="Times New Roman" w:eastAsiaTheme="minorEastAsia" w:hAnsi="Times New Roman" w:cs="Times New Roman"/>
          <w:color w:val="000000"/>
          <w:sz w:val="24"/>
          <w:szCs w:val="24"/>
          <w:lang w:eastAsia="es-ES"/>
        </w:rPr>
        <w:t>La presente Ordenanza fiscal, aprobada por el Pleno de este Ayuntamiento</w:t>
      </w:r>
      <w:r>
        <w:rPr>
          <w:rFonts w:ascii="Times New Roman" w:eastAsiaTheme="minorEastAsia" w:hAnsi="Times New Roman" w:cs="Times New Roman"/>
          <w:color w:val="000000"/>
          <w:sz w:val="24"/>
          <w:szCs w:val="24"/>
          <w:lang w:eastAsia="es-ES"/>
        </w:rPr>
        <w:t xml:space="preserve"> en sesión celebrada </w:t>
      </w:r>
      <w:r w:rsidRPr="00462B44">
        <w:rPr>
          <w:rFonts w:ascii="Times New Roman" w:eastAsiaTheme="minorEastAsia" w:hAnsi="Times New Roman" w:cs="Times New Roman"/>
          <w:color w:val="000000"/>
          <w:sz w:val="24"/>
          <w:szCs w:val="24"/>
          <w:highlight w:val="yellow"/>
          <w:lang w:eastAsia="es-ES"/>
        </w:rPr>
        <w:t>el… de… del…</w:t>
      </w:r>
      <w:r>
        <w:rPr>
          <w:rStyle w:val="Refdenotaalpie"/>
          <w:rFonts w:ascii="Times New Roman" w:eastAsiaTheme="minorEastAsia" w:hAnsi="Times New Roman" w:cs="Times New Roman"/>
          <w:color w:val="000000"/>
          <w:sz w:val="24"/>
          <w:szCs w:val="24"/>
          <w:highlight w:val="yellow"/>
          <w:lang w:eastAsia="es-ES"/>
        </w:rPr>
        <w:footnoteReference w:id="7"/>
      </w:r>
      <w:r>
        <w:rPr>
          <w:rFonts w:ascii="Times New Roman" w:eastAsiaTheme="minorEastAsia" w:hAnsi="Times New Roman" w:cs="Times New Roman"/>
          <w:color w:val="000000"/>
          <w:sz w:val="24"/>
          <w:szCs w:val="24"/>
          <w:lang w:eastAsia="es-ES"/>
        </w:rPr>
        <w:t xml:space="preserve"> ,</w:t>
      </w:r>
      <w:r w:rsidRPr="00462B44">
        <w:rPr>
          <w:rFonts w:ascii="Times New Roman" w:eastAsiaTheme="minorEastAsia" w:hAnsi="Times New Roman" w:cs="Times New Roman"/>
          <w:color w:val="000000"/>
          <w:sz w:val="24"/>
          <w:szCs w:val="24"/>
          <w:lang w:eastAsia="es-ES"/>
        </w:rPr>
        <w:t xml:space="preserve"> comenza</w:t>
      </w:r>
      <w:r>
        <w:rPr>
          <w:rFonts w:ascii="Times New Roman" w:eastAsiaTheme="minorEastAsia" w:hAnsi="Times New Roman" w:cs="Times New Roman"/>
          <w:color w:val="000000"/>
          <w:sz w:val="24"/>
          <w:szCs w:val="24"/>
          <w:lang w:eastAsia="es-ES"/>
        </w:rPr>
        <w:t>rá a regir con efectos desde el</w:t>
      </w:r>
      <w:r w:rsidRPr="00462B44">
        <w:rPr>
          <w:rFonts w:ascii="Times New Roman" w:eastAsiaTheme="minorEastAsia" w:hAnsi="Times New Roman" w:cs="Times New Roman"/>
          <w:color w:val="000000"/>
          <w:sz w:val="24"/>
          <w:szCs w:val="24"/>
          <w:highlight w:val="yellow"/>
          <w:lang w:eastAsia="es-ES"/>
        </w:rPr>
        <w:t xml:space="preserve">…. </w:t>
      </w:r>
      <w:proofErr w:type="gramStart"/>
      <w:r w:rsidRPr="00462B44">
        <w:rPr>
          <w:rFonts w:ascii="Times New Roman" w:eastAsiaTheme="minorEastAsia" w:hAnsi="Times New Roman" w:cs="Times New Roman"/>
          <w:color w:val="000000"/>
          <w:sz w:val="24"/>
          <w:szCs w:val="24"/>
          <w:highlight w:val="yellow"/>
          <w:lang w:eastAsia="es-ES"/>
        </w:rPr>
        <w:t>de …</w:t>
      </w:r>
      <w:proofErr w:type="gramEnd"/>
      <w:r w:rsidRPr="00462B44">
        <w:rPr>
          <w:rFonts w:ascii="Times New Roman" w:eastAsiaTheme="minorEastAsia" w:hAnsi="Times New Roman" w:cs="Times New Roman"/>
          <w:color w:val="000000"/>
          <w:sz w:val="24"/>
          <w:szCs w:val="24"/>
          <w:highlight w:val="yellow"/>
          <w:lang w:eastAsia="es-ES"/>
        </w:rPr>
        <w:t xml:space="preserve"> del ….,</w:t>
      </w:r>
      <w:r>
        <w:rPr>
          <w:rStyle w:val="Refdenotaalpie"/>
          <w:rFonts w:ascii="Times New Roman" w:eastAsiaTheme="minorEastAsia" w:hAnsi="Times New Roman" w:cs="Times New Roman"/>
          <w:color w:val="000000"/>
          <w:sz w:val="24"/>
          <w:szCs w:val="24"/>
          <w:highlight w:val="yellow"/>
          <w:lang w:eastAsia="es-ES"/>
        </w:rPr>
        <w:footnoteReference w:id="8"/>
      </w:r>
      <w:r w:rsidRPr="00462B44">
        <w:rPr>
          <w:rFonts w:ascii="Times New Roman" w:eastAsiaTheme="minorEastAsia" w:hAnsi="Times New Roman" w:cs="Times New Roman"/>
          <w:color w:val="000000"/>
          <w:sz w:val="24"/>
          <w:szCs w:val="24"/>
          <w:lang w:eastAsia="es-ES"/>
        </w:rPr>
        <w:t xml:space="preserve"> y continuará vigente en tanto no se acuerde su modificación o derogación. En caso de modificación parcial de esta Ordenanza fiscal, los artículos no modificados continuarán vigentes.</w:t>
      </w:r>
    </w:p>
    <w:sectPr w:rsidR="001C140F" w:rsidRPr="001C140F">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5B1" w:rsidRDefault="003E05B1" w:rsidP="001D17B2">
      <w:pPr>
        <w:spacing w:after="0" w:line="240" w:lineRule="auto"/>
      </w:pPr>
      <w:r>
        <w:separator/>
      </w:r>
    </w:p>
  </w:endnote>
  <w:endnote w:type="continuationSeparator" w:id="0">
    <w:p w:rsidR="003E05B1" w:rsidRDefault="003E05B1" w:rsidP="001D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589844"/>
      <w:docPartObj>
        <w:docPartGallery w:val="Page Numbers (Bottom of Page)"/>
        <w:docPartUnique/>
      </w:docPartObj>
    </w:sdtPr>
    <w:sdtContent>
      <w:p w:rsidR="001C140F" w:rsidRDefault="001C140F">
        <w:pPr>
          <w:pStyle w:val="Piedepgina"/>
          <w:jc w:val="right"/>
        </w:pPr>
        <w:r>
          <w:fldChar w:fldCharType="begin"/>
        </w:r>
        <w:r>
          <w:instrText>PAGE   \* MERGEFORMAT</w:instrText>
        </w:r>
        <w:r>
          <w:fldChar w:fldCharType="separate"/>
        </w:r>
        <w:r w:rsidR="00EC585B">
          <w:rPr>
            <w:noProof/>
          </w:rPr>
          <w:t>6</w:t>
        </w:r>
        <w:r>
          <w:fldChar w:fldCharType="end"/>
        </w:r>
      </w:p>
    </w:sdtContent>
  </w:sdt>
  <w:p w:rsidR="001C140F" w:rsidRDefault="001C14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5B1" w:rsidRDefault="003E05B1" w:rsidP="001D17B2">
      <w:pPr>
        <w:spacing w:after="0" w:line="240" w:lineRule="auto"/>
      </w:pPr>
      <w:r>
        <w:separator/>
      </w:r>
    </w:p>
  </w:footnote>
  <w:footnote w:type="continuationSeparator" w:id="0">
    <w:p w:rsidR="003E05B1" w:rsidRDefault="003E05B1" w:rsidP="001D17B2">
      <w:pPr>
        <w:spacing w:after="0" w:line="240" w:lineRule="auto"/>
      </w:pPr>
      <w:r>
        <w:continuationSeparator/>
      </w:r>
    </w:p>
  </w:footnote>
  <w:footnote w:id="1">
    <w:p w:rsidR="001D17B2" w:rsidRDefault="001D17B2" w:rsidP="001D17B2">
      <w:pPr>
        <w:pStyle w:val="Textonotapie"/>
      </w:pPr>
      <w:r>
        <w:rPr>
          <w:rStyle w:val="Refdenotaalpie"/>
        </w:rPr>
        <w:footnoteRef/>
      </w:r>
      <w:r>
        <w:t xml:space="preserve"> </w:t>
      </w:r>
      <w:r w:rsidRPr="007D364E">
        <w:t xml:space="preserve">Introducir nombre </w:t>
      </w:r>
      <w:r w:rsidRPr="007D364E">
        <w:rPr>
          <w:b/>
        </w:rPr>
        <w:t>Ayuntamiento</w:t>
      </w:r>
      <w:r w:rsidRPr="007D364E">
        <w:t>.</w:t>
      </w:r>
    </w:p>
  </w:footnote>
  <w:footnote w:id="2">
    <w:p w:rsidR="001D17B2" w:rsidRDefault="001D17B2" w:rsidP="001D17B2">
      <w:pPr>
        <w:pStyle w:val="Textonotapie"/>
      </w:pPr>
      <w:r>
        <w:rPr>
          <w:rStyle w:val="Refdenotaalpie"/>
        </w:rPr>
        <w:footnoteRef/>
      </w:r>
      <w:r>
        <w:t xml:space="preserve"> </w:t>
      </w:r>
      <w:r w:rsidRPr="00682893">
        <w:rPr>
          <w:b/>
        </w:rPr>
        <w:t>Revisado el presente epígrafe,</w:t>
      </w:r>
      <w:r w:rsidRPr="00682893">
        <w:t xml:space="preserve"> mantengan el enunciado subrayado en rojo, </w:t>
      </w:r>
      <w:r w:rsidRPr="00682893">
        <w:rPr>
          <w:b/>
        </w:rPr>
        <w:t>quitándole el subrayado.</w:t>
      </w:r>
    </w:p>
  </w:footnote>
  <w:footnote w:id="3">
    <w:p w:rsidR="001D17B2" w:rsidRDefault="001D17B2" w:rsidP="001D17B2">
      <w:pPr>
        <w:pStyle w:val="Textonotapie"/>
      </w:pPr>
      <w:r>
        <w:rPr>
          <w:rStyle w:val="Refdenotaalpie"/>
        </w:rPr>
        <w:footnoteRef/>
      </w:r>
      <w:r>
        <w:t xml:space="preserve"> </w:t>
      </w:r>
      <w:r w:rsidRPr="007D364E">
        <w:t xml:space="preserve">Introducir nombre </w:t>
      </w:r>
      <w:r w:rsidRPr="007D364E">
        <w:rPr>
          <w:b/>
        </w:rPr>
        <w:t>Ayuntamiento.</w:t>
      </w:r>
    </w:p>
  </w:footnote>
  <w:footnote w:id="4">
    <w:p w:rsidR="001C140F" w:rsidRDefault="001C140F" w:rsidP="001C140F">
      <w:pPr>
        <w:pStyle w:val="Textonotapie"/>
      </w:pPr>
      <w:r>
        <w:rPr>
          <w:rStyle w:val="Refdenotaalpie"/>
        </w:rPr>
        <w:footnoteRef/>
      </w:r>
      <w:r>
        <w:t xml:space="preserve"> </w:t>
      </w:r>
      <w:r w:rsidRPr="00682893">
        <w:rPr>
          <w:b/>
        </w:rPr>
        <w:t>Revisado el presente epígrafe,</w:t>
      </w:r>
      <w:r w:rsidRPr="00682893">
        <w:t xml:space="preserve"> mantengan el enunciado subrayado en rojo, </w:t>
      </w:r>
      <w:r w:rsidRPr="00682893">
        <w:rPr>
          <w:b/>
        </w:rPr>
        <w:t>quitándole el subrayado.</w:t>
      </w:r>
    </w:p>
  </w:footnote>
  <w:footnote w:id="5">
    <w:p w:rsidR="001C140F" w:rsidRDefault="001C140F" w:rsidP="001C140F">
      <w:pPr>
        <w:pStyle w:val="Textonotapie"/>
      </w:pPr>
      <w:r>
        <w:rPr>
          <w:rStyle w:val="Refdenotaalpie"/>
        </w:rPr>
        <w:footnoteRef/>
      </w:r>
      <w:r>
        <w:t xml:space="preserve"> </w:t>
      </w:r>
      <w:r w:rsidRPr="007D364E">
        <w:rPr>
          <w:b/>
        </w:rPr>
        <w:t>Mantener o suprimir las categorías</w:t>
      </w:r>
      <w:r>
        <w:t xml:space="preserve"> que se deseen y </w:t>
      </w:r>
      <w:r w:rsidRPr="007D364E">
        <w:rPr>
          <w:b/>
        </w:rPr>
        <w:t xml:space="preserve"> cumplimentar</w:t>
      </w:r>
      <w:r>
        <w:t xml:space="preserve"> los apartados señalados con las </w:t>
      </w:r>
      <w:r w:rsidRPr="007D364E">
        <w:rPr>
          <w:b/>
        </w:rPr>
        <w:t xml:space="preserve">tarifas </w:t>
      </w:r>
      <w:r>
        <w:t>correspondientes.</w:t>
      </w:r>
    </w:p>
  </w:footnote>
  <w:footnote w:id="6">
    <w:p w:rsidR="001C140F" w:rsidRDefault="001C140F" w:rsidP="001C140F">
      <w:pPr>
        <w:pStyle w:val="Textonotapie"/>
      </w:pPr>
      <w:r>
        <w:rPr>
          <w:rStyle w:val="Refdenotaalpie"/>
        </w:rPr>
        <w:footnoteRef/>
      </w:r>
      <w:r>
        <w:t xml:space="preserve"> </w:t>
      </w:r>
      <w:r w:rsidRPr="00682893">
        <w:rPr>
          <w:b/>
        </w:rPr>
        <w:t>Revisado el presente epígrafe</w:t>
      </w:r>
      <w:r w:rsidRPr="00682893">
        <w:t xml:space="preserve">, mantengan el enunciado subrayado en rojo, </w:t>
      </w:r>
      <w:r w:rsidRPr="00682893">
        <w:rPr>
          <w:b/>
        </w:rPr>
        <w:t>quitándole el subrayado.</w:t>
      </w:r>
    </w:p>
  </w:footnote>
  <w:footnote w:id="7">
    <w:p w:rsidR="001C140F" w:rsidRPr="00462B44" w:rsidRDefault="001C140F" w:rsidP="001C140F">
      <w:pPr>
        <w:pStyle w:val="Textonotapie"/>
        <w:jc w:val="both"/>
        <w:rPr>
          <w:rFonts w:ascii="Times New Roman" w:hAnsi="Times New Roman" w:cs="Times New Roman"/>
        </w:rPr>
      </w:pPr>
      <w:r>
        <w:rPr>
          <w:rStyle w:val="Refdenotaalpie"/>
        </w:rPr>
        <w:footnoteRef/>
      </w:r>
      <w:r>
        <w:t xml:space="preserve"> </w:t>
      </w:r>
      <w:r w:rsidRPr="00462B44">
        <w:rPr>
          <w:rFonts w:ascii="Times New Roman" w:hAnsi="Times New Roman" w:cs="Times New Roman"/>
        </w:rPr>
        <w:t xml:space="preserve">Insertar </w:t>
      </w:r>
      <w:r w:rsidRPr="0046608B">
        <w:rPr>
          <w:rFonts w:ascii="Times New Roman" w:hAnsi="Times New Roman" w:cs="Times New Roman"/>
          <w:b/>
        </w:rPr>
        <w:t>fecha de celebración del Pleno</w:t>
      </w:r>
      <w:r w:rsidRPr="00462B44">
        <w:rPr>
          <w:rFonts w:ascii="Times New Roman" w:hAnsi="Times New Roman" w:cs="Times New Roman"/>
        </w:rPr>
        <w:t xml:space="preserve"> por el que se aprueba la presente O.F.</w:t>
      </w:r>
    </w:p>
  </w:footnote>
  <w:footnote w:id="8">
    <w:p w:rsidR="001C140F" w:rsidRDefault="001C140F" w:rsidP="001C140F">
      <w:pPr>
        <w:pStyle w:val="Textonotapie"/>
        <w:jc w:val="both"/>
      </w:pPr>
      <w:r w:rsidRPr="00462B44">
        <w:rPr>
          <w:rStyle w:val="Refdenotaalpie"/>
          <w:rFonts w:ascii="Times New Roman" w:hAnsi="Times New Roman" w:cs="Times New Roman"/>
        </w:rPr>
        <w:footnoteRef/>
      </w:r>
      <w:r w:rsidRPr="00462B44">
        <w:rPr>
          <w:rFonts w:ascii="Times New Roman" w:hAnsi="Times New Roman" w:cs="Times New Roman"/>
        </w:rPr>
        <w:t xml:space="preserve"> Insertar </w:t>
      </w:r>
      <w:r w:rsidRPr="0046608B">
        <w:rPr>
          <w:rFonts w:ascii="Times New Roman" w:hAnsi="Times New Roman" w:cs="Times New Roman"/>
          <w:b/>
        </w:rPr>
        <w:t>fecha de entrada en vigor</w:t>
      </w:r>
      <w:r w:rsidRPr="00462B44">
        <w:rPr>
          <w:rFonts w:ascii="Times New Roman" w:hAnsi="Times New Roman" w:cs="Times New Roman"/>
        </w:rPr>
        <w:t xml:space="preserve"> de la presente O.F.</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B2"/>
    <w:rsid w:val="001C140F"/>
    <w:rsid w:val="001D17B2"/>
    <w:rsid w:val="003E05B1"/>
    <w:rsid w:val="00EA12BC"/>
    <w:rsid w:val="00EC58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7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D17B2"/>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D17B2"/>
    <w:rPr>
      <w:rFonts w:eastAsiaTheme="minorEastAsia"/>
      <w:lang w:eastAsia="es-ES"/>
    </w:rPr>
  </w:style>
  <w:style w:type="paragraph" w:styleId="Textodeglobo">
    <w:name w:val="Balloon Text"/>
    <w:basedOn w:val="Normal"/>
    <w:link w:val="TextodegloboCar"/>
    <w:uiPriority w:val="99"/>
    <w:semiHidden/>
    <w:unhideWhenUsed/>
    <w:rsid w:val="001D17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17B2"/>
    <w:rPr>
      <w:rFonts w:ascii="Tahoma" w:hAnsi="Tahoma" w:cs="Tahoma"/>
      <w:sz w:val="16"/>
      <w:szCs w:val="16"/>
    </w:rPr>
  </w:style>
  <w:style w:type="paragraph" w:styleId="Textonotapie">
    <w:name w:val="footnote text"/>
    <w:basedOn w:val="Normal"/>
    <w:link w:val="TextonotapieCar"/>
    <w:uiPriority w:val="99"/>
    <w:semiHidden/>
    <w:unhideWhenUsed/>
    <w:rsid w:val="001D17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D17B2"/>
    <w:rPr>
      <w:sz w:val="20"/>
      <w:szCs w:val="20"/>
    </w:rPr>
  </w:style>
  <w:style w:type="character" w:styleId="Refdenotaalpie">
    <w:name w:val="footnote reference"/>
    <w:basedOn w:val="Fuentedeprrafopredeter"/>
    <w:uiPriority w:val="99"/>
    <w:semiHidden/>
    <w:unhideWhenUsed/>
    <w:rsid w:val="001D17B2"/>
    <w:rPr>
      <w:vertAlign w:val="superscript"/>
    </w:rPr>
  </w:style>
  <w:style w:type="paragraph" w:styleId="Encabezado">
    <w:name w:val="header"/>
    <w:basedOn w:val="Normal"/>
    <w:link w:val="EncabezadoCar"/>
    <w:uiPriority w:val="99"/>
    <w:unhideWhenUsed/>
    <w:rsid w:val="001C14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140F"/>
  </w:style>
  <w:style w:type="paragraph" w:styleId="Piedepgina">
    <w:name w:val="footer"/>
    <w:basedOn w:val="Normal"/>
    <w:link w:val="PiedepginaCar"/>
    <w:uiPriority w:val="99"/>
    <w:unhideWhenUsed/>
    <w:rsid w:val="001C14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1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7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D17B2"/>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D17B2"/>
    <w:rPr>
      <w:rFonts w:eastAsiaTheme="minorEastAsia"/>
      <w:lang w:eastAsia="es-ES"/>
    </w:rPr>
  </w:style>
  <w:style w:type="paragraph" w:styleId="Textodeglobo">
    <w:name w:val="Balloon Text"/>
    <w:basedOn w:val="Normal"/>
    <w:link w:val="TextodegloboCar"/>
    <w:uiPriority w:val="99"/>
    <w:semiHidden/>
    <w:unhideWhenUsed/>
    <w:rsid w:val="001D17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17B2"/>
    <w:rPr>
      <w:rFonts w:ascii="Tahoma" w:hAnsi="Tahoma" w:cs="Tahoma"/>
      <w:sz w:val="16"/>
      <w:szCs w:val="16"/>
    </w:rPr>
  </w:style>
  <w:style w:type="paragraph" w:styleId="Textonotapie">
    <w:name w:val="footnote text"/>
    <w:basedOn w:val="Normal"/>
    <w:link w:val="TextonotapieCar"/>
    <w:uiPriority w:val="99"/>
    <w:semiHidden/>
    <w:unhideWhenUsed/>
    <w:rsid w:val="001D17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D17B2"/>
    <w:rPr>
      <w:sz w:val="20"/>
      <w:szCs w:val="20"/>
    </w:rPr>
  </w:style>
  <w:style w:type="character" w:styleId="Refdenotaalpie">
    <w:name w:val="footnote reference"/>
    <w:basedOn w:val="Fuentedeprrafopredeter"/>
    <w:uiPriority w:val="99"/>
    <w:semiHidden/>
    <w:unhideWhenUsed/>
    <w:rsid w:val="001D17B2"/>
    <w:rPr>
      <w:vertAlign w:val="superscript"/>
    </w:rPr>
  </w:style>
  <w:style w:type="paragraph" w:styleId="Encabezado">
    <w:name w:val="header"/>
    <w:basedOn w:val="Normal"/>
    <w:link w:val="EncabezadoCar"/>
    <w:uiPriority w:val="99"/>
    <w:unhideWhenUsed/>
    <w:rsid w:val="001C14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140F"/>
  </w:style>
  <w:style w:type="paragraph" w:styleId="Piedepgina">
    <w:name w:val="footer"/>
    <w:basedOn w:val="Normal"/>
    <w:link w:val="PiedepginaCar"/>
    <w:uiPriority w:val="99"/>
    <w:unhideWhenUsed/>
    <w:rsid w:val="001C14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1816</Words>
  <Characters>9990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ORDENANZA FISCAL REGULADORA DE LA TASA DE  ENTRADA DE VEHÍCULOS Y VADO PERMANENTE</dc:title>
  <dc:creator>Mª Rocío Sillero Carrasco</dc:creator>
  <cp:lastModifiedBy>Mª Rocío Sillero Carrasco</cp:lastModifiedBy>
  <cp:revision>2</cp:revision>
  <dcterms:created xsi:type="dcterms:W3CDTF">2017-01-11T07:01:00Z</dcterms:created>
  <dcterms:modified xsi:type="dcterms:W3CDTF">2017-01-11T07:18:00Z</dcterms:modified>
</cp:coreProperties>
</file>