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FB" w:rsidRDefault="00F25CFB" w:rsidP="00F25CFB">
      <w:pPr>
        <w:pStyle w:val="Ttulo1"/>
        <w:spacing w:before="0"/>
        <w:jc w:val="center"/>
        <w:rPr>
          <w:rFonts w:ascii="Open Sans" w:hAnsi="Open Sans" w:cs="Open Sans"/>
          <w:color w:val="C00000"/>
        </w:rPr>
      </w:pPr>
      <w:bookmarkStart w:id="0" w:name="_GoBack"/>
      <w:bookmarkEnd w:id="0"/>
      <w:r w:rsidRPr="00DD0331">
        <w:rPr>
          <w:rFonts w:ascii="Open Sans" w:hAnsi="Open Sans" w:cs="Open Sans"/>
          <w:color w:val="C00000"/>
        </w:rPr>
        <w:t>MODELO ORDENANZA FISCAL REGULADORA DEL IMPUESTO SOBRE BIENES INMUEBLES</w:t>
      </w:r>
    </w:p>
    <w:p w:rsidR="00F25CFB" w:rsidRPr="00DD0331" w:rsidRDefault="00F25CFB" w:rsidP="00F25CFB"/>
    <w:p w:rsidR="00F25CFB" w:rsidRPr="0053446C" w:rsidRDefault="00F25CFB" w:rsidP="00F25CFB">
      <w:pPr>
        <w:spacing w:after="0"/>
        <w:jc w:val="both"/>
        <w:rPr>
          <w:rFonts w:ascii="Open Sans" w:eastAsiaTheme="minorEastAsia" w:hAnsi="Open Sans" w:cs="Open Sans"/>
          <w:b/>
          <w:color w:val="000000" w:themeColor="text1"/>
          <w:lang w:eastAsia="es-ES"/>
        </w:rPr>
      </w:pPr>
      <w:r w:rsidRPr="0053446C">
        <w:rPr>
          <w:rFonts w:ascii="Open Sans" w:eastAsiaTheme="minorEastAsia" w:hAnsi="Open Sans" w:cs="Open Sans"/>
          <w:b/>
          <w:color w:val="000000" w:themeColor="text1"/>
          <w:lang w:eastAsia="es-ES"/>
        </w:rPr>
        <w:t>Artículo 1. NATURALEZA Y FUNDAMENTO.</w:t>
      </w:r>
    </w:p>
    <w:p w:rsidR="00F25CFB" w:rsidRPr="0053446C" w:rsidRDefault="00F25CFB" w:rsidP="00F25CFB">
      <w:pPr>
        <w:spacing w:after="0"/>
        <w:jc w:val="both"/>
        <w:rPr>
          <w:rFonts w:ascii="Open Sans" w:eastAsiaTheme="minorEastAsia" w:hAnsi="Open Sans" w:cs="Open Sans"/>
          <w:color w:val="000000" w:themeColor="text1"/>
          <w:lang w:eastAsia="es-ES"/>
        </w:rPr>
      </w:pPr>
      <w:r w:rsidRPr="0053446C">
        <w:rPr>
          <w:rFonts w:ascii="Open Sans" w:eastAsiaTheme="minorEastAsia" w:hAnsi="Open Sans" w:cs="Open Sans"/>
          <w:color w:val="000000" w:themeColor="text1"/>
          <w:lang w:eastAsia="es-ES"/>
        </w:rPr>
        <w:t>El Impuesto sobre Bienes Inmuebles es un tributo directo de carácter real</w:t>
      </w:r>
      <w:r w:rsidR="0069578C">
        <w:rPr>
          <w:rFonts w:ascii="Open Sans" w:eastAsiaTheme="minorEastAsia" w:hAnsi="Open Sans" w:cs="Open Sans"/>
          <w:color w:val="000000" w:themeColor="text1"/>
          <w:lang w:eastAsia="es-ES"/>
        </w:rPr>
        <w:t xml:space="preserve"> </w:t>
      </w:r>
      <w:r w:rsidRPr="0053446C">
        <w:rPr>
          <w:rFonts w:ascii="Open Sans" w:eastAsiaTheme="minorEastAsia" w:hAnsi="Open Sans" w:cs="Open Sans"/>
          <w:color w:val="000000" w:themeColor="text1"/>
          <w:lang w:eastAsia="es-ES"/>
        </w:rPr>
        <w:t>que grava el valor de los bienes inmuebles, establecido con carácter obligatorio en el Texto Refundido de la Ley reguladora de las Haciendas Locales, aprobado por Real Decreto 2/2004, de 5 de marzo, y regulado de conformidad con lo dispuesto en los artículos 60 a 77, ambos inclusive, de dicha disposición, y acorde a la misma, en la presente ordenanza fiscal.</w:t>
      </w:r>
    </w:p>
    <w:p w:rsidR="00F25CFB" w:rsidRPr="0053446C" w:rsidRDefault="00F25CFB" w:rsidP="00F25CFB">
      <w:pPr>
        <w:spacing w:after="0" w:line="240" w:lineRule="auto"/>
        <w:jc w:val="both"/>
        <w:rPr>
          <w:rFonts w:ascii="Open Sans" w:hAnsi="Open Sans" w:cs="Open Sans"/>
          <w:b/>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2. HECHO IMPONIBLE Y SUPUESTOS DE NO SUJECIÓN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Constituye el hecho imponible del Impuesto la titularidad de los siguientes derechos sobre los bienes inmuebles rústicos y urbanos y sobre los inmuebles de características especiales:</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 una concesión administrativa sobre los propios inmuebles o sobre los servicios públicos a que se hallen afectos.</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 un derecho real de superficie.</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 un derecho real de usufructo.</w:t>
      </w:r>
    </w:p>
    <w:p w:rsidR="00F25CFB" w:rsidRPr="0053446C" w:rsidRDefault="00F25CFB" w:rsidP="00F25CFB">
      <w:pPr>
        <w:pStyle w:val="Prrafodelista"/>
        <w:numPr>
          <w:ilvl w:val="0"/>
          <w:numId w:val="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Del derecho de propiedad. </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La realización del hecho imponible que corresponda, de los definidos en el apartado anterior por el orden en él establecido, determinará la no sujeción del inmueble a las restantes modalidades previstas en el mismo. En los inmuebles de características especiales se aplicará esta misma prelación, salvo cuando los derechos de concesión que puedan recaer sobre el inmueble no agoten su extensión superficial, supuesto en el que también se realizará el hecho imponible por el derecho de propiedad sobre la parte del inmueble no afectada por una concesión.</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A los efectos de este Impuesto tendrán la consideración de bienes inmuebles rústicos, de bienes inmuebles urbanos y de bienes inmuebles de características especiales los definidos como tales en las normas reguladoras del Catastro Inmobiliario. El carácter urbano o rústico del inmueble dependerá de la naturaleza del suelo.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4. No están sujetos al Impuesto:</w:t>
      </w:r>
    </w:p>
    <w:p w:rsidR="00F25CFB" w:rsidRPr="0053446C" w:rsidRDefault="00F25CFB" w:rsidP="00F25CFB">
      <w:pPr>
        <w:pStyle w:val="Prrafodelista"/>
        <w:numPr>
          <w:ilvl w:val="0"/>
          <w:numId w:val="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Las carreteras, los caminos, las demás vías terrestres y los bienes del dominio público marítimo- terrestre e hidráulico, siempre que sean de aprovechamiento público y gratuito para los usuarios.</w:t>
      </w:r>
    </w:p>
    <w:p w:rsidR="00F25CFB" w:rsidRPr="0053446C" w:rsidRDefault="00F25CFB" w:rsidP="00F25CFB">
      <w:pPr>
        <w:pStyle w:val="Prrafodelista"/>
        <w:numPr>
          <w:ilvl w:val="0"/>
          <w:numId w:val="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siguientes bienes inmuebles propiedad de este Ayuntamiento:</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de dominio público afecto a uso público.</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de dominio público afecto a un servicio público gestionado directamente por el Ayuntamiento y los bienes patrimoniales, excepto cuando se trate de inmuebles cedidos a terceros mediante contraprestación.</w:t>
      </w:r>
    </w:p>
    <w:p w:rsidR="00F25CFB" w:rsidRPr="0053446C" w:rsidRDefault="00F25CFB" w:rsidP="00F25CFB">
      <w:pPr>
        <w:spacing w:after="0" w:line="240" w:lineRule="auto"/>
        <w:jc w:val="both"/>
        <w:rPr>
          <w:rFonts w:ascii="Open Sans" w:hAnsi="Open Sans" w:cs="Open Sans"/>
          <w:b/>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lastRenderedPageBreak/>
        <w:t>Artículo 3. EXENCIONES.</w:t>
      </w:r>
    </w:p>
    <w:p w:rsidR="00F25CFB" w:rsidRPr="0053446C" w:rsidRDefault="00F25CFB" w:rsidP="00F25CFB">
      <w:pPr>
        <w:pStyle w:val="Prrafodelista"/>
        <w:numPr>
          <w:ilvl w:val="0"/>
          <w:numId w:val="20"/>
        </w:numPr>
        <w:spacing w:after="0" w:line="240" w:lineRule="auto"/>
        <w:ind w:left="284"/>
        <w:jc w:val="both"/>
        <w:rPr>
          <w:rFonts w:ascii="Open Sans" w:hAnsi="Open Sans" w:cs="Open Sans"/>
          <w:color w:val="000000" w:themeColor="text1"/>
        </w:rPr>
      </w:pPr>
      <w:r w:rsidRPr="0053446C">
        <w:rPr>
          <w:rFonts w:ascii="Open Sans" w:hAnsi="Open Sans" w:cs="Open Sans"/>
          <w:color w:val="000000" w:themeColor="text1"/>
        </w:rPr>
        <w:t>Estarán exentos de este impuesto los siguientes inmuebles:</w:t>
      </w: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que siendo propiedad del Estado, de las Comunidades Autónomas o de las Entidades locales estén directamente afectos a la seguridad ciudadana y a los servicios educativos y penitenciarios, así como los del Estado afectos a la Defensa Nacional.</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bienes comunales y los montes vecinales en mano comunes.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line="240" w:lineRule="auto"/>
        <w:jc w:val="both"/>
        <w:rPr>
          <w:rFonts w:ascii="Open Sans" w:hAnsi="Open Sans" w:cs="Open Sans"/>
          <w:color w:val="000000" w:themeColor="text1"/>
        </w:rPr>
      </w:pPr>
      <w:r w:rsidRPr="0053446C">
        <w:rPr>
          <w:rFonts w:ascii="Open Sans" w:hAnsi="Open Sans" w:cs="Open Sans"/>
          <w:color w:val="000000" w:themeColor="text1"/>
        </w:rPr>
        <w:t>Los de la Iglesia Católica, en los términos previstos en el Acuerdo entre el Estado Español y la Santa Sede sobre asuntos económicos, de 3 de enero de 1979; y los de las Asociaciones confesionales no católicas legalmente reconocidas, en los términos establecidos en los respectivos acuerdos de cooperación suscritos en virtud de lo dispuesto en el artículo 16 de la Constitución.</w:t>
      </w:r>
    </w:p>
    <w:p w:rsidR="00F25CFB" w:rsidRPr="0053446C" w:rsidRDefault="00F25CFB" w:rsidP="00F25CFB">
      <w:pPr>
        <w:pStyle w:val="Prrafodelista"/>
        <w:spacing w:before="240"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before="240" w:after="0" w:line="240" w:lineRule="auto"/>
        <w:jc w:val="both"/>
        <w:rPr>
          <w:rFonts w:ascii="Open Sans" w:hAnsi="Open Sans" w:cs="Open Sans"/>
          <w:color w:val="000000" w:themeColor="text1"/>
        </w:rPr>
      </w:pPr>
      <w:r w:rsidRPr="0053446C">
        <w:rPr>
          <w:rFonts w:ascii="Open Sans" w:hAnsi="Open Sans" w:cs="Open Sans"/>
          <w:color w:val="000000" w:themeColor="text1"/>
        </w:rPr>
        <w:t>Los de la Cruz Roja Española.</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inmuebles a los que sea de aplicación la exención en virtud de los Tratados Internacionales en vigor; y a condición de reciprocidad, los de los Gobiernos extranjeros destinados a su representación diplomática, consular, o a sus organismos oficiales.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superficie de los montes poblados con especies de crecimiento lento reglamentariamente determinadas, cuyo principal aprovechamiento sea la madera o el corcho, siempre que la densidad del arbolado sea la propia o normal de la especie de que se trate. </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w:t>
      </w:r>
      <w:r w:rsidRPr="00CF224D">
        <w:rPr>
          <w:rFonts w:ascii="Open Sans" w:hAnsi="Open Sans" w:cs="Open Sans"/>
          <w:color w:val="000000" w:themeColor="text1"/>
        </w:rPr>
        <w:t xml:space="preserve">esta </w:t>
      </w:r>
      <w:r w:rsidR="004B2B57" w:rsidRPr="00CF224D">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expedido por la administración competente en el que se haga constar la superficie ocupada por las especies de crecimiento lento.</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terrenos ocupados por las líneas de ferrocarril y los edificios enclavados en los mismos terrenos, que estén dedicados a estaciones, almacenes o a cualquier otro servicio indispensable para la explotación de dichas líneas. No están exentas, por consiguiente, las casas destinadas a viviendas de los empleados, las oficinas de dirección ni las instalaciones fabriles. </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BC491A" w:rsidRPr="00CF224D">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expedido por la administración competente en el que se haga constar la superficie ocupada por las líneas de ferrocarril y los edificios enclavados en los mismos terrenos.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inmuebles que se destinen a la enseñanza por centros docentes acogidos, total o parcialmente, al régimen de conciertos educativos, en cuanto a la superficie afectada a la enseñanza concertada. </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lastRenderedPageBreak/>
        <w:t xml:space="preserve">La concesión de esta exención requiere solicitud previa por parte del sujeto pasivo. Junto a la solicitud de esta </w:t>
      </w:r>
      <w:r w:rsidR="00DB0B18">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del Concierto Educativo expedido por la Consejería correspondiente de la Junta de Extremadura.</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Al amparo de lo prevenido en los artículos 9.2 y 62.2.a) del Real Decreto 2/2004, de 5 de marzo, por el que se aprueba el Texto Refundido de la Ley reguladora de las Haciendas Locales, el órgano gestor del tributo velará, y en su caso, instará a la Administración competente para que proceda a la oportuna compensación de las exenciones reconocidas por este Ayuntamiento de conformidad con el presente apartado.</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Los declarados expresa e individualmente monumento o jardín histórico de interés cultural, mediante Real Decreto en la forma establecida por el artículo 9 de la Ley 16/1985, de 25 de junio, e inscritos en el Registro General a que se refiere el Artículo 12 como integrantes del Patrimonio Histórico Artístico Español, así como los comprendidos en las disposiciones adicionales primera, segunda y quinta de dicha Ley.</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Esta exención no alcanzará  a cualesquiera clases de bienes urbanos dentro del perímetro delimitado de las zonas arqueológicas y sitios y conjuntos históricos, globalmente integrados en ellos, sino, exclusivamente, a los que reúnan las siguientes condiciones:</w:t>
      </w:r>
    </w:p>
    <w:p w:rsidR="00F25CFB" w:rsidRPr="0053446C" w:rsidRDefault="00F25CFB" w:rsidP="00F25CFB">
      <w:pPr>
        <w:spacing w:after="0" w:line="240" w:lineRule="auto"/>
        <w:ind w:left="1416"/>
        <w:jc w:val="both"/>
        <w:rPr>
          <w:rFonts w:ascii="Open Sans" w:hAnsi="Open Sans" w:cs="Open Sans"/>
          <w:color w:val="000000" w:themeColor="text1"/>
        </w:rPr>
      </w:pPr>
      <w:r w:rsidRPr="0053446C">
        <w:rPr>
          <w:rFonts w:ascii="Open Sans" w:hAnsi="Open Sans" w:cs="Open Sans"/>
          <w:color w:val="000000" w:themeColor="text1"/>
        </w:rPr>
        <w:t>- En zonas arqueológicas, los incluidos como objeto de especial protección en el instrumento de planeamiento urbanístico a que se refiere el artículo 20 de la Ley 16/1985, de 25 de junio.</w:t>
      </w:r>
    </w:p>
    <w:p w:rsidR="00F25CFB" w:rsidRPr="0053446C" w:rsidRDefault="00F25CFB" w:rsidP="00F25CFB">
      <w:pPr>
        <w:spacing w:after="0" w:line="240" w:lineRule="auto"/>
        <w:ind w:left="1416"/>
        <w:jc w:val="both"/>
        <w:rPr>
          <w:rFonts w:ascii="Open Sans" w:hAnsi="Open Sans" w:cs="Open Sans"/>
          <w:color w:val="000000" w:themeColor="text1"/>
        </w:rPr>
      </w:pPr>
      <w:r w:rsidRPr="0053446C">
        <w:rPr>
          <w:rFonts w:ascii="Open Sans" w:hAnsi="Open Sans" w:cs="Open Sans"/>
          <w:color w:val="000000" w:themeColor="text1"/>
        </w:rPr>
        <w:t>- En sitios o conjuntos históricos, los que cuenten con una antigüedad igual o superior a cincuenta años y estén incluidos en el catálogo previsto en el Real Decreto 2159/1978, de 23 de junio, por el que se aprueba el Reglamento de planeamiento para el desarrollo y aplicación de la Ley sobre Régimen del Suelo y Ordenación Urbana, como objeto de protección integral en los términos previstos en el artículo 21 de la Ley 16/1985, de 25 de junio.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No estarán exentos los bienes inmuebles a que se refiere esta letra b) cuando estén afectos a explotaciones económicas, salvo que les resulte de aplicación alguno de los supuestos de exención previstos en la Ley 49/2002, de 23 de diciembre, de régimen fiscal de las entidades sin fines lucrativos y de los incentivos fiscales al mecenazgo, o que la sujeción al impuesto a título de contribuyente recaiga sobre el Estado, las Comunidades Autónomas o las entidades locales, o sobre organismos autónomos del Estado o entidades de derecho público de análogo carácter de las Comunidades Autónomas y de las entidades locales.</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881AF0" w:rsidRPr="00CF224D">
        <w:rPr>
          <w:rFonts w:ascii="Open Sans" w:hAnsi="Open Sans" w:cs="Open Sans"/>
          <w:color w:val="000000" w:themeColor="text1"/>
        </w:rPr>
        <w:t>exención</w:t>
      </w:r>
      <w:r w:rsidR="00794734">
        <w:rPr>
          <w:rFonts w:ascii="Open Sans" w:hAnsi="Open Sans" w:cs="Open Sans"/>
          <w:color w:val="000000" w:themeColor="text1"/>
        </w:rPr>
        <w:t xml:space="preserve"> </w:t>
      </w:r>
      <w:r w:rsidRPr="0053446C">
        <w:rPr>
          <w:rFonts w:ascii="Open Sans" w:hAnsi="Open Sans" w:cs="Open Sans"/>
          <w:color w:val="000000" w:themeColor="text1"/>
        </w:rPr>
        <w:t xml:space="preserve">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Declaración del Ayuntamiento certificando que el inmueble cumple las condiciones de encontrarse situado en zonas </w:t>
      </w:r>
      <w:r w:rsidRPr="0053446C">
        <w:rPr>
          <w:rFonts w:ascii="Open Sans" w:hAnsi="Open Sans" w:cs="Open Sans"/>
          <w:color w:val="000000" w:themeColor="text1"/>
        </w:rPr>
        <w:lastRenderedPageBreak/>
        <w:t>arqueológicas o conjuntos históricos, y no desarrollarse explotación económica alguna en el mismo.</w:t>
      </w:r>
    </w:p>
    <w:p w:rsidR="00F25CFB" w:rsidRPr="0053446C" w:rsidRDefault="00F25CFB" w:rsidP="00F25CFB">
      <w:pPr>
        <w:pStyle w:val="Prrafodelista"/>
        <w:spacing w:after="0" w:line="240" w:lineRule="auto"/>
        <w:ind w:left="1440"/>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La superficie de los montes en que se realicen repoblaciones forestales o regeneración de masas arboladas sujetas a proyectos de ordenación o planes técnicos aprobados por la Administración forestal.</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Esta exención tendrá una duración de quince años, contando a partir del periodo impositivo siguiente a aquel en que se realice su solicitud.</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8A25CF">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53446C" w:rsidRDefault="00F25CFB" w:rsidP="00F25CFB">
      <w:pPr>
        <w:pStyle w:val="Prrafodelista"/>
        <w:numPr>
          <w:ilvl w:val="1"/>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emitido por la administración competente mediante el que se justifique la superficie repoblada.</w:t>
      </w:r>
    </w:p>
    <w:p w:rsidR="00F25CFB" w:rsidRPr="0053446C" w:rsidRDefault="00F25CFB" w:rsidP="00F25CFB">
      <w:pPr>
        <w:pStyle w:val="Prrafodelista"/>
        <w:spacing w:after="0" w:line="240" w:lineRule="auto"/>
        <w:ind w:left="1440"/>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bienes inmuebles de los que sean titulares, en los términos que establece el artículo 4 de esta Ordenanza, las entidades no lucrativas definidas en la </w:t>
      </w:r>
      <w:r w:rsidRPr="0053446C">
        <w:rPr>
          <w:rFonts w:ascii="Open Sans" w:hAnsi="Open Sans" w:cs="Open Sans"/>
          <w:color w:val="000000" w:themeColor="text1"/>
          <w:u w:val="single"/>
        </w:rPr>
        <w:t>Ley 49/2002</w:t>
      </w:r>
      <w:r w:rsidRPr="0053446C">
        <w:rPr>
          <w:rFonts w:ascii="Open Sans" w:hAnsi="Open Sans" w:cs="Open Sans"/>
          <w:color w:val="000000" w:themeColor="text1"/>
        </w:rPr>
        <w:t>, de 23 de diciembre, de régimen fiscal de las entidades sin fines lucrativos y de los incentivos fiscales al mecenazgo, excepto los afectos a explotaciones económicas no exentas del Impuesto sobre Sociedades.</w:t>
      </w:r>
    </w:p>
    <w:p w:rsidR="00957E45" w:rsidRPr="00957E45" w:rsidRDefault="00F25CFB" w:rsidP="00957E45">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La concesión de esta exención requiere solicitud previa por parte del sujeto pasivo. Junto a la solicitud de esta </w:t>
      </w:r>
      <w:r w:rsidR="00DB0B18">
        <w:rPr>
          <w:rFonts w:ascii="Open Sans" w:hAnsi="Open Sans" w:cs="Open Sans"/>
          <w:color w:val="000000" w:themeColor="text1"/>
        </w:rPr>
        <w:t>exención</w:t>
      </w:r>
      <w:r w:rsidRPr="0053446C">
        <w:rPr>
          <w:rFonts w:ascii="Open Sans" w:hAnsi="Open Sans" w:cs="Open Sans"/>
          <w:color w:val="000000" w:themeColor="text1"/>
        </w:rPr>
        <w:t xml:space="preserve"> deberá aportarse la siguiente documentación acreditativa: </w:t>
      </w:r>
    </w:p>
    <w:p w:rsidR="00F25CFB" w:rsidRPr="00667628" w:rsidRDefault="00F25CFB" w:rsidP="00F25CFB">
      <w:pPr>
        <w:pStyle w:val="Prrafodelista"/>
        <w:numPr>
          <w:ilvl w:val="1"/>
          <w:numId w:val="4"/>
        </w:numPr>
        <w:spacing w:after="0" w:line="240" w:lineRule="auto"/>
        <w:jc w:val="both"/>
        <w:rPr>
          <w:rFonts w:ascii="Open Sans" w:hAnsi="Open Sans" w:cs="Open Sans"/>
          <w:color w:val="000000" w:themeColor="text1"/>
        </w:rPr>
      </w:pPr>
      <w:r w:rsidRPr="00667628">
        <w:rPr>
          <w:rFonts w:ascii="Open Sans" w:hAnsi="Open Sans" w:cs="Open Sans"/>
          <w:color w:val="000000" w:themeColor="text1"/>
        </w:rPr>
        <w:t>Certificado expedido por la Agencia Tributaria que acredite que la entidad ha comunicado la opción para la aplicación del régimen fiscal de las entidades sin fines lucrativos y de los incentivos fiscales al mecenazgo, y que no ha renunciado al mismo para el próximo periodo impositivo.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Concedida la exención, la entidad disfrutará de la misma en los períodos impositivos siguientes, en tanto se cumplan los requisitos para ser consideradas entidades sin fines lucrativos, y mientras no se renuncie a la aplicación del régimen fiscal especial.</w:t>
      </w:r>
    </w:p>
    <w:p w:rsidR="00F25CFB" w:rsidRPr="0053446C" w:rsidRDefault="00F25CFB" w:rsidP="00F25CFB">
      <w:pPr>
        <w:spacing w:after="0" w:line="240" w:lineRule="auto"/>
        <w:ind w:left="708"/>
        <w:jc w:val="both"/>
        <w:rPr>
          <w:rFonts w:ascii="Open Sans" w:hAnsi="Open Sans" w:cs="Open Sans"/>
          <w:color w:val="000000" w:themeColor="text1"/>
        </w:rPr>
      </w:pPr>
    </w:p>
    <w:p w:rsidR="00F25CFB" w:rsidRPr="0053446C" w:rsidRDefault="00F25CFB" w:rsidP="00F25CFB">
      <w:pPr>
        <w:pStyle w:val="Prrafodelista"/>
        <w:numPr>
          <w:ilvl w:val="0"/>
          <w:numId w:val="5"/>
        </w:numPr>
        <w:shd w:val="clear" w:color="auto" w:fill="FFFFFF" w:themeFill="background1"/>
        <w:spacing w:after="0" w:line="240" w:lineRule="auto"/>
        <w:jc w:val="both"/>
        <w:rPr>
          <w:rFonts w:ascii="Open Sans" w:hAnsi="Open Sans" w:cs="Open Sans"/>
          <w:color w:val="000000" w:themeColor="text1"/>
        </w:rPr>
      </w:pPr>
      <w:r w:rsidRPr="0053446C">
        <w:rPr>
          <w:rStyle w:val="Refdenotaalpie"/>
          <w:rFonts w:ascii="Open Sans" w:hAnsi="Open Sans" w:cs="Open Sans"/>
          <w:color w:val="000000" w:themeColor="text1"/>
        </w:rPr>
        <w:footnoteReference w:id="1"/>
      </w:r>
      <w:r w:rsidRPr="0053446C">
        <w:rPr>
          <w:rFonts w:ascii="Open Sans" w:hAnsi="Open Sans" w:cs="Open Sans"/>
          <w:color w:val="000000" w:themeColor="text1"/>
        </w:rPr>
        <w:t>También están exentos los siguientes bienes inmuebles situados en el término municipal de este Ayuntamiento, en razón de criterios de eficiencia y economía en la gestión recaudatoria del tributo:</w:t>
      </w:r>
    </w:p>
    <w:p w:rsidR="00F25CFB" w:rsidRPr="0053446C" w:rsidRDefault="00F25CFB" w:rsidP="00F25CFB">
      <w:pPr>
        <w:pStyle w:val="Prrafodelista"/>
        <w:numPr>
          <w:ilvl w:val="0"/>
          <w:numId w:val="19"/>
        </w:numPr>
        <w:shd w:val="clear" w:color="auto" w:fill="FFFFFF" w:themeFill="background1"/>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Los de naturaleza urbana, cuya cuota líquida sea inferior a </w:t>
      </w:r>
      <w:r w:rsidRPr="0053446C">
        <w:rPr>
          <w:rFonts w:ascii="Open Sans" w:hAnsi="Open Sans" w:cs="Open Sans"/>
          <w:color w:val="000000" w:themeColor="text1"/>
          <w:highlight w:val="red"/>
        </w:rPr>
        <w:t>…</w:t>
      </w:r>
      <w:r w:rsidRPr="0053446C">
        <w:rPr>
          <w:rStyle w:val="Refdenotaalpie"/>
          <w:rFonts w:ascii="Open Sans" w:hAnsi="Open Sans" w:cs="Open Sans"/>
          <w:color w:val="000000" w:themeColor="text1"/>
        </w:rPr>
        <w:footnoteReference w:id="2"/>
      </w:r>
      <w:r w:rsidRPr="0053446C">
        <w:rPr>
          <w:rFonts w:ascii="Open Sans" w:hAnsi="Open Sans" w:cs="Open Sans"/>
          <w:color w:val="000000" w:themeColor="text1"/>
        </w:rPr>
        <w:t xml:space="preserve"> € </w:t>
      </w:r>
    </w:p>
    <w:p w:rsidR="00F25CFB" w:rsidRPr="0053446C" w:rsidRDefault="00F25CFB" w:rsidP="00F25CFB">
      <w:pPr>
        <w:pStyle w:val="Prrafodelista"/>
        <w:numPr>
          <w:ilvl w:val="0"/>
          <w:numId w:val="19"/>
        </w:numPr>
        <w:shd w:val="clear" w:color="auto" w:fill="FFFFFF" w:themeFill="background1"/>
        <w:spacing w:after="0" w:line="240" w:lineRule="auto"/>
        <w:jc w:val="both"/>
        <w:rPr>
          <w:rFonts w:ascii="Open Sans" w:hAnsi="Open Sans" w:cs="Open Sans"/>
          <w:b/>
          <w:color w:val="000000" w:themeColor="text1"/>
        </w:rPr>
      </w:pPr>
      <w:r w:rsidRPr="0053446C">
        <w:rPr>
          <w:rFonts w:ascii="Open Sans" w:hAnsi="Open Sans" w:cs="Open Sans"/>
          <w:color w:val="000000" w:themeColor="text1"/>
        </w:rPr>
        <w:t xml:space="preserve">Los de naturaleza rústica, en el caso de que para cada sujeto pasivo, la cuota líquida correspondiente a la totalidad de los bienes rústicos poseídos en el término municipal sea inferior a </w:t>
      </w:r>
      <w:r w:rsidRPr="0053446C">
        <w:rPr>
          <w:rFonts w:ascii="Open Sans" w:hAnsi="Open Sans" w:cs="Open Sans"/>
          <w:color w:val="000000" w:themeColor="text1"/>
          <w:highlight w:val="red"/>
        </w:rPr>
        <w:t>…</w:t>
      </w:r>
      <w:r w:rsidRPr="0053446C">
        <w:rPr>
          <w:rStyle w:val="Refdenotaalpie"/>
          <w:rFonts w:ascii="Open Sans" w:hAnsi="Open Sans" w:cs="Open Sans"/>
          <w:color w:val="000000" w:themeColor="text1"/>
        </w:rPr>
        <w:footnoteReference w:id="3"/>
      </w:r>
      <w:r w:rsidRPr="0053446C">
        <w:rPr>
          <w:rFonts w:ascii="Open Sans" w:hAnsi="Open Sans" w:cs="Open Sans"/>
          <w:color w:val="000000" w:themeColor="text1"/>
        </w:rPr>
        <w:t xml:space="preserve"> €.</w:t>
      </w:r>
    </w:p>
    <w:p w:rsidR="00F25CFB" w:rsidRPr="0053446C" w:rsidRDefault="00F25CFB" w:rsidP="00F25CFB">
      <w:pPr>
        <w:shd w:val="clear" w:color="auto" w:fill="FFFFFF" w:themeFill="background1"/>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Cuando el pago de la cuota se haya fraccionado, el límite de los apartados anteriores se refiere al importe de la cuota anual.</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lastRenderedPageBreak/>
        <w:t>Cuando la cuota se haya dividido, al amparo de lo previsto en el artículo 4.3 de esta Ordenanza, el importe de la cuota mínima para disfrutar de la exención se refiere a la cuota líquida anual total.</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5"/>
        </w:numPr>
        <w:spacing w:after="0" w:line="240" w:lineRule="auto"/>
        <w:jc w:val="both"/>
        <w:rPr>
          <w:rFonts w:ascii="Open Sans" w:hAnsi="Open Sans" w:cs="Open Sans"/>
          <w:color w:val="000000" w:themeColor="text1"/>
        </w:rPr>
      </w:pPr>
      <w:r w:rsidRPr="0053446C">
        <w:rPr>
          <w:rStyle w:val="Refdenotaalpie"/>
          <w:rFonts w:ascii="Open Sans" w:hAnsi="Open Sans" w:cs="Open Sans"/>
          <w:color w:val="000000" w:themeColor="text1"/>
        </w:rPr>
        <w:footnoteReference w:id="4"/>
      </w:r>
      <w:r w:rsidRPr="0053446C">
        <w:rPr>
          <w:rFonts w:ascii="Open Sans" w:hAnsi="Open Sans" w:cs="Open Sans"/>
          <w:color w:val="000000" w:themeColor="text1"/>
        </w:rPr>
        <w:t>Están exentos los bienes inmuebles situados en el término municipal de este Ayuntamiento de que sean titulares los centros sanitarios de titularidad pública, siempre que estén afectos al cumplimiento de los fines específicos de los referidos centros.</w:t>
      </w:r>
    </w:p>
    <w:p w:rsidR="00F25CFB" w:rsidRPr="0053446C" w:rsidRDefault="00F25CFB" w:rsidP="00F25CFB">
      <w:pPr>
        <w:spacing w:after="0" w:line="240" w:lineRule="auto"/>
        <w:jc w:val="both"/>
        <w:rPr>
          <w:rFonts w:ascii="Open Sans" w:hAnsi="Open Sans" w:cs="Open Sans"/>
          <w:color w:val="000000" w:themeColor="text1"/>
        </w:rPr>
      </w:pPr>
    </w:p>
    <w:p w:rsidR="00F25CFB" w:rsidRPr="00E05B7D" w:rsidRDefault="00F25CFB" w:rsidP="00F25CFB">
      <w:pPr>
        <w:pStyle w:val="Prrafodelista"/>
        <w:numPr>
          <w:ilvl w:val="0"/>
          <w:numId w:val="20"/>
        </w:numPr>
        <w:jc w:val="both"/>
        <w:rPr>
          <w:rFonts w:ascii="Open Sans" w:hAnsi="Open Sans" w:cs="Open Sans"/>
          <w:color w:val="000000" w:themeColor="text1"/>
        </w:rPr>
      </w:pPr>
      <w:r w:rsidRPr="00E05B7D">
        <w:rPr>
          <w:rFonts w:ascii="Open Sans" w:hAnsi="Open Sans" w:cs="Open Sans"/>
          <w:color w:val="000000" w:themeColor="text1"/>
        </w:rPr>
        <w:t xml:space="preserve">El plazo de solicitud de las exenciones con carácter rogado será el comprendido entre 1 de octubre del ejercicio anterior al periodo impositivo y el 1 de </w:t>
      </w:r>
      <w:r>
        <w:rPr>
          <w:rFonts w:ascii="Open Sans" w:hAnsi="Open Sans" w:cs="Open Sans"/>
          <w:color w:val="000000" w:themeColor="text1"/>
        </w:rPr>
        <w:t>marzo</w:t>
      </w:r>
      <w:r w:rsidRPr="00E05B7D">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4. SUJETOS PASIVOS.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1. Son sujetos pasivos, a título de contribuyentes, las personas naturales y jurídicas y las entidades a que se refiere el </w:t>
      </w:r>
      <w:r w:rsidRPr="0053446C">
        <w:rPr>
          <w:rFonts w:ascii="Open Sans" w:hAnsi="Open Sans" w:cs="Open Sans"/>
          <w:color w:val="000000" w:themeColor="text1"/>
          <w:u w:val="single"/>
        </w:rPr>
        <w:t>artículo 35.4 de la Ley 58/2003</w:t>
      </w:r>
      <w:r w:rsidRPr="0053446C">
        <w:rPr>
          <w:rFonts w:ascii="Open Sans" w:hAnsi="Open Sans" w:cs="Open Sans"/>
          <w:color w:val="000000" w:themeColor="text1"/>
        </w:rPr>
        <w:t>, de 17 de diciembre, General Tributaria que ostenten la titularidad del derecho que, en cada caso, sea constitutivo del hecho imponible de este Impuesto, conforme a lo dispuesto en el artículo 2.1 de la presente Ordenanza fiscal.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 xml:space="preserve">2. En el caso de bienes inmuebles de características especiales, cuando la condición de contribuyente recaiga en uno o en varios concesionarios, cada uno de ellos lo será por su cuota, que se determinará en razón a la parte del valor catastral que corresponda a la superficie concedida y a la construcción directamente vinculada a cada concesión. </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Para esta misma clase de inmuebles,  cuando el propietario tenga la condición de sujeto pasivo contribuyente por la superficie no afectada por  las concesiones, actuará como sustituto del mismo el ente u organismo público a que se halle afectado o adscrito el inmueble o aquel a cuyo cargo se encuentre su administración y gestión, el cual no podrá repercutir en el contribuyente el importe de la deuda tributaria satisfecha.</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Lo dispuesto en el párrafo anterior será de aplicación sin perjuicio de la facultad del sujeto pasivo de repercutir la carga tributaria soportada, conforme a las normas de derecho común.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El Ayuntamiento repercutirá la totalidad de la cuota líquida del Impuesto en quienes, no reuniendo la condición de sujetos pasivos del mismo, hagan uso mediante contraprestación de sus bienes demaniales o patrimoniales, los cuales estarán obligados a soportar la repercusión. </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4. En los supuestos de separación matrimonial judicial, anulación o divorcio, con atribución del uso de la vivienda a uno de los cotitulares, </w:t>
      </w:r>
      <w:r w:rsidRPr="004C0970">
        <w:rPr>
          <w:rFonts w:ascii="Open Sans" w:hAnsi="Open Sans" w:cs="Open Sans"/>
          <w:color w:val="000000" w:themeColor="text1"/>
        </w:rPr>
        <w:t xml:space="preserve">estos pueden solicitar </w:t>
      </w:r>
      <w:r w:rsidRPr="0053446C">
        <w:rPr>
          <w:rFonts w:ascii="Open Sans" w:hAnsi="Open Sans" w:cs="Open Sans"/>
          <w:color w:val="000000" w:themeColor="text1"/>
        </w:rPr>
        <w:t xml:space="preserve">la alteración del orden de los sujetos pasivos para hacer constar, en </w:t>
      </w:r>
      <w:r w:rsidRPr="0053446C">
        <w:rPr>
          <w:rFonts w:ascii="Open Sans" w:hAnsi="Open Sans" w:cs="Open Sans"/>
          <w:color w:val="000000" w:themeColor="text1"/>
        </w:rPr>
        <w:lastRenderedPageBreak/>
        <w:t>primer lugar, quien es beneficiario del uso</w:t>
      </w:r>
      <w:r>
        <w:rPr>
          <w:rFonts w:ascii="Open Sans" w:hAnsi="Open Sans" w:cs="Open Sans"/>
          <w:color w:val="000000" w:themeColor="text1"/>
        </w:rPr>
        <w:t>, a fin de que el recibo sea emitido a nombre del mismo</w:t>
      </w:r>
      <w:r w:rsidRPr="0053446C">
        <w:rPr>
          <w:rFonts w:ascii="Open Sans" w:hAnsi="Open Sans" w:cs="Open Sans"/>
          <w:color w:val="000000" w:themeColor="text1"/>
        </w:rPr>
        <w:t>. En este caso se exige el acuerdo expreso de los interesados suscrito por ambas partes o sentencia judicial que así lo establezca.</w:t>
      </w:r>
    </w:p>
    <w:p w:rsidR="00EF596F" w:rsidRDefault="00EF596F"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5. AFECCIÓN DE LOS BIENES AL PAGO DEL IMPUESTO Y SUPUESTOS ESPECIALES DE RESPONSABILIDAD.</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En los supuestos de cambio, por cualquier causa, en la titularidad de los derechos que constituyen el hecho imponible de este Impuesto, los bienes inmuebles objeto de dichos derechos quedarán afectos al pago de la totalidad de la cuota tributaria en los términos previstos en el artículo 79 de la Ley 58/2003, de 17 de diciembre, General Tributaria. A estos efectos, los notarios solicitarán información y advertirán a los comparecientes sobre las deudas pendientes por el Impuesto sobre Bienes Inmuebles asociadas al inmueble que se transmite, sobre el plazo dentro del cual están obligados los interesados a presentar declaración por el impuesto, cuando tal obligación subsista por no haberse aportado la referencia catastral del inmueble, conforme al apartado 2 del artículo 43 del texto refundido de la Ley del Catastro Inmobiliario y otras normas tributarias, sobre la afección de los bienes al pago de la cuota tributaria y, asimismo, sobre las responsabilidades en que incurran por la falta de presentación de declaraciones, el no efectuarlas en plazo o la presentación de declaraciones falsas, incompletas o inexactas, conforme a lo previsto en el artículo 70 del texto refundido de la Ley del Catastro Inmobiliario y otras normas tributarias.</w:t>
      </w:r>
    </w:p>
    <w:p w:rsidR="00F25CFB" w:rsidRPr="0053446C" w:rsidRDefault="00F25CFB" w:rsidP="00F25CFB">
      <w:pPr>
        <w:spacing w:after="0" w:line="240" w:lineRule="auto"/>
        <w:jc w:val="both"/>
        <w:rPr>
          <w:rFonts w:ascii="Open Sans" w:hAnsi="Open Sans" w:cs="Open Sans"/>
          <w:color w:val="000000" w:themeColor="text1"/>
        </w:rPr>
      </w:pPr>
    </w:p>
    <w:p w:rsidR="00F25CFB" w:rsidRPr="00A923C4"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Responden solidariamente de la cuota de este Impuesto, y en proporción a sus respectivas participaciones, los copartícipes o cotitulares de las entidades a que se refiere el artículo 35 de la Ley 58/2003, de 17 de diciembre, General Tributaria, si figuran inscritos como tales en el Catastro Inmobiliario. De no figurar inscritos, la responsabilidad se exigirá por partes iguales en todo caso.</w:t>
      </w:r>
    </w:p>
    <w:p w:rsidR="00F25CFB"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6. BASE IMPONIBLE.</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 base imponible está constituida por el valor catastral de los bienes inmuebles, que se determinará, notificará y será susceptible de impugnación, conforme a las normas reguladoras del Catastro Inmobiliario.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Los valores catastrales podrán ser objeto de revisión, modificación o actualización en los casos y forma legalmente prevista.</w:t>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7. BASE LIQUIDABLE.</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 base liquidable será el resultado de practicar en la base imponible las reducciones que legalmente estén establecidas; y en particular las reducciones a que se refiere el artículo 8 de la presente Ordenanza fiscal.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2. La base liquidable se notificará conjuntamente con la base imponible en los procedimientos de valoración colectiva. Dicha notificación incluirá la motivación de la reducción aplicada mediante la indicación del valor base </w:t>
      </w:r>
      <w:r w:rsidRPr="0053446C">
        <w:rPr>
          <w:rFonts w:ascii="Open Sans" w:hAnsi="Open Sans" w:cs="Open Sans"/>
          <w:color w:val="000000" w:themeColor="text1"/>
        </w:rPr>
        <w:lastRenderedPageBreak/>
        <w:t>del inmueble así como el importe de la reducción y de la base liquidable del primer año de vigencia del nuevo valor catastral.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En los procedimientos de valoración colectiva la determinación de la base liquidable será competencia de la Dirección General del Catastro y recurrible ante los Tribunales Económico-Administrativos del Estado.</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 xml:space="preserve">Artículo 8. REDUCCIÓN DE LA BASE IMPONIBLE. </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Se reducirá la base imponible de los bienes inmuebles urbanos y rústicos que se encuentren en alguna de estas dos situaciones: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a) Inmueble cuyo valor catastral se incremente, como consecuencia de procedimientos de valoración colectiva de carácter general en virtud de:</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1º.- La aplicación de la nueva Ponencia total de valor aprobada con posterioridad al 1 de enero de 1997.</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2º.- La aplicación de sucesivas Ponencias totales de valores que se aprueben una vez trascurrido el periodo de reducción establecido en el artículo 68.1 del Real Decreto Legislativo 2/2004, de 5 de marzo del texto refundido de la Ley Reguladora de las Haciendas Locales.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b) Cuando se apruebe una Ponencia de valores que haya dado lugar a la aplicación de la reducción prevista en este apartado 1 y cuyo valor catastral se altere, antes de finalizar el plazo de reducción, por:</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de valoración colectiva de carácter general.</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de valoración colectiva de carácter parcial.</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simplificado de valoración colectiva.</w:t>
      </w:r>
    </w:p>
    <w:p w:rsidR="00F25CFB" w:rsidRPr="0053446C" w:rsidRDefault="00F25CFB" w:rsidP="00F25CFB">
      <w:pPr>
        <w:pStyle w:val="Prrafodelista"/>
        <w:numPr>
          <w:ilvl w:val="0"/>
          <w:numId w:val="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Procedimiento de inscripción mediante declaraciones, comunicaciones, solicitudes, subsanaciones de discrepancias e inspección catastral.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2. </w:t>
      </w:r>
      <w:r w:rsidRPr="0053446C">
        <w:rPr>
          <w:rFonts w:ascii="Open Sans" w:eastAsia="Open Sans" w:hAnsi="Open Sans" w:cs="Open Sans"/>
          <w:color w:val="000000" w:themeColor="text1"/>
        </w:rPr>
        <w:t>A los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inmuebles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rústicos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valorados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conforme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 lo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dispuesto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apartado1 de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disposición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transitoria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primera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de</w:t>
      </w:r>
      <w:r w:rsidRPr="0053446C">
        <w:rPr>
          <w:rFonts w:ascii="Open Sans" w:eastAsia="Open Sans" w:hAnsi="Open Sans" w:cs="Open Sans"/>
          <w:color w:val="000000" w:themeColor="text1"/>
          <w:w w:val="102"/>
        </w:rPr>
        <w:t xml:space="preserve">l </w:t>
      </w:r>
      <w:r w:rsidRPr="0053446C">
        <w:rPr>
          <w:rFonts w:ascii="Open Sans" w:eastAsia="Open Sans" w:hAnsi="Open Sans" w:cs="Open Sans"/>
          <w:color w:val="000000" w:themeColor="text1"/>
        </w:rPr>
        <w:t>Texto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Refundido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 la Ley</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Catastro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Inmobiliario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les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será</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 aplicación,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hasta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 realización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 un procedimiento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 xml:space="preserve">de </w:t>
      </w:r>
      <w:r w:rsidRPr="0053446C">
        <w:rPr>
          <w:rFonts w:ascii="Open Sans" w:eastAsia="Open Sans" w:hAnsi="Open Sans" w:cs="Open Sans"/>
          <w:color w:val="000000" w:themeColor="text1"/>
        </w:rPr>
        <w:t>valoración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colectiva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carácter</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general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para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inmuebles</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esta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clase,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reducción</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que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se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refiere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artículo</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67</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de</w:t>
      </w:r>
      <w:r w:rsidRPr="0053446C">
        <w:rPr>
          <w:rFonts w:ascii="Open Sans" w:eastAsia="Open Sans" w:hAnsi="Open Sans" w:cs="Open Sans"/>
          <w:color w:val="000000" w:themeColor="text1"/>
          <w:w w:val="102"/>
        </w:rPr>
        <w:t xml:space="preserve">l </w:t>
      </w:r>
      <w:r w:rsidRPr="0053446C">
        <w:rPr>
          <w:rFonts w:ascii="Open Sans" w:eastAsia="Open Sans" w:hAnsi="Open Sans" w:cs="Open Sans"/>
          <w:color w:val="000000" w:themeColor="text1"/>
        </w:rPr>
        <w:t>Texto</w:t>
      </w:r>
      <w:r w:rsidR="000C6EE9">
        <w:rPr>
          <w:rFonts w:ascii="Open Sans" w:eastAsia="Open Sans" w:hAnsi="Open Sans" w:cs="Open Sans"/>
          <w:color w:val="000000" w:themeColor="text1"/>
        </w:rPr>
        <w:t xml:space="preserve"> Refundido. Esta r</w:t>
      </w:r>
      <w:r w:rsidRPr="0053446C">
        <w:rPr>
          <w:rFonts w:ascii="Open Sans" w:eastAsia="Open Sans" w:hAnsi="Open Sans" w:cs="Open Sans"/>
          <w:color w:val="000000" w:themeColor="text1"/>
        </w:rPr>
        <w:t>educción se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aplicará  únicamente sobre</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primera  componente del</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valor</w:t>
      </w:r>
      <w:r w:rsidR="000C6EE9">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catastral  (valor de construcción más valor suelo ocupado por la construcción).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eastAsia="Open Sans" w:hAnsi="Open Sans" w:cs="Open Sans"/>
          <w:color w:val="000000" w:themeColor="text1"/>
        </w:rPr>
        <w:t>A</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efectos</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lo</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establecido</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en</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párrafo</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anterior,</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componente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individual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de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la</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reducción</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a</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que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se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refiere</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rPr>
        <w:t>el</w:t>
      </w:r>
      <w:r w:rsidR="00813685">
        <w:rPr>
          <w:rFonts w:ascii="Open Sans" w:eastAsia="Open Sans" w:hAnsi="Open Sans" w:cs="Open Sans"/>
          <w:color w:val="000000" w:themeColor="text1"/>
        </w:rPr>
        <w:t xml:space="preserve"> </w:t>
      </w:r>
      <w:r w:rsidRPr="0053446C">
        <w:rPr>
          <w:rFonts w:ascii="Open Sans" w:eastAsia="Open Sans" w:hAnsi="Open Sans" w:cs="Open Sans"/>
          <w:color w:val="000000" w:themeColor="text1"/>
          <w:w w:val="101"/>
        </w:rPr>
        <w:t>art</w:t>
      </w:r>
      <w:r w:rsidRPr="0053446C">
        <w:rPr>
          <w:rFonts w:ascii="Open Sans" w:eastAsia="Open Sans" w:hAnsi="Open Sans" w:cs="Open Sans"/>
          <w:color w:val="000000" w:themeColor="text1"/>
          <w:w w:val="102"/>
        </w:rPr>
        <w:t>í</w:t>
      </w:r>
      <w:r w:rsidRPr="0053446C">
        <w:rPr>
          <w:rFonts w:ascii="Open Sans" w:eastAsia="Open Sans" w:hAnsi="Open Sans" w:cs="Open Sans"/>
          <w:color w:val="000000" w:themeColor="text1"/>
          <w:w w:val="101"/>
        </w:rPr>
        <w:t>cu</w:t>
      </w:r>
      <w:r w:rsidRPr="0053446C">
        <w:rPr>
          <w:rFonts w:ascii="Open Sans" w:eastAsia="Open Sans" w:hAnsi="Open Sans" w:cs="Open Sans"/>
          <w:color w:val="000000" w:themeColor="text1"/>
          <w:w w:val="102"/>
        </w:rPr>
        <w:t>l</w:t>
      </w:r>
      <w:r w:rsidRPr="0053446C">
        <w:rPr>
          <w:rFonts w:ascii="Open Sans" w:eastAsia="Open Sans" w:hAnsi="Open Sans" w:cs="Open Sans"/>
          <w:color w:val="000000" w:themeColor="text1"/>
          <w:w w:val="101"/>
        </w:rPr>
        <w:t>o</w:t>
      </w:r>
      <w:r w:rsidR="00813685">
        <w:rPr>
          <w:rFonts w:ascii="Open Sans" w:eastAsia="Open Sans" w:hAnsi="Open Sans" w:cs="Open Sans"/>
          <w:color w:val="000000" w:themeColor="text1"/>
          <w:w w:val="101"/>
        </w:rPr>
        <w:t xml:space="preserve"> </w:t>
      </w:r>
      <w:r w:rsidRPr="0053446C">
        <w:rPr>
          <w:rFonts w:ascii="Open Sans" w:eastAsia="Open Sans" w:hAnsi="Open Sans" w:cs="Open Sans"/>
          <w:color w:val="000000" w:themeColor="text1"/>
          <w:position w:val="1"/>
        </w:rPr>
        <w:t>68,</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será,</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en</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cada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año,</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la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diferencia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positiva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entre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la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primera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componente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catastral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inmueble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en</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w w:val="101"/>
          <w:position w:val="1"/>
        </w:rPr>
        <w:t>pr</w:t>
      </w:r>
      <w:r w:rsidRPr="0053446C">
        <w:rPr>
          <w:rFonts w:ascii="Open Sans" w:eastAsia="Open Sans" w:hAnsi="Open Sans" w:cs="Open Sans"/>
          <w:color w:val="000000" w:themeColor="text1"/>
          <w:w w:val="102"/>
          <w:position w:val="1"/>
        </w:rPr>
        <w:t>i</w:t>
      </w:r>
      <w:r w:rsidRPr="0053446C">
        <w:rPr>
          <w:rFonts w:ascii="Open Sans" w:eastAsia="Open Sans" w:hAnsi="Open Sans" w:cs="Open Sans"/>
          <w:color w:val="000000" w:themeColor="text1"/>
          <w:w w:val="101"/>
          <w:position w:val="1"/>
        </w:rPr>
        <w:t>mer</w:t>
      </w:r>
      <w:r w:rsidR="00813685">
        <w:rPr>
          <w:rFonts w:ascii="Open Sans" w:eastAsia="Open Sans" w:hAnsi="Open Sans" w:cs="Open Sans"/>
          <w:color w:val="000000" w:themeColor="text1"/>
          <w:w w:val="101"/>
          <w:position w:val="1"/>
        </w:rPr>
        <w:t xml:space="preserve"> </w:t>
      </w:r>
      <w:r w:rsidRPr="0053446C">
        <w:rPr>
          <w:rFonts w:ascii="Open Sans" w:eastAsia="Open Sans" w:hAnsi="Open Sans" w:cs="Open Sans"/>
          <w:color w:val="000000" w:themeColor="text1"/>
          <w:position w:val="1"/>
        </w:rPr>
        <w:t>ejercicio</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su</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vigencia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y</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su</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base.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Este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base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será</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resultado</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multiplicar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la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citada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primera</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componente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w w:val="101"/>
          <w:position w:val="1"/>
        </w:rPr>
        <w:t>de</w:t>
      </w:r>
      <w:r w:rsidRPr="0053446C">
        <w:rPr>
          <w:rFonts w:ascii="Open Sans" w:eastAsia="Open Sans" w:hAnsi="Open Sans" w:cs="Open Sans"/>
          <w:color w:val="000000" w:themeColor="text1"/>
          <w:w w:val="102"/>
          <w:position w:val="1"/>
        </w:rPr>
        <w:t>l</w:t>
      </w:r>
      <w:r w:rsidR="00813685">
        <w:rPr>
          <w:rFonts w:ascii="Open Sans" w:eastAsia="Open Sans" w:hAnsi="Open Sans" w:cs="Open Sans"/>
          <w:color w:val="000000" w:themeColor="text1"/>
          <w:w w:val="102"/>
          <w:position w:val="1"/>
        </w:rPr>
        <w:t xml:space="preserve"> </w:t>
      </w:r>
      <w:r w:rsidRPr="0053446C">
        <w:rPr>
          <w:rFonts w:ascii="Open Sans" w:eastAsia="Open Sans" w:hAnsi="Open Sans" w:cs="Open Sans"/>
          <w:color w:val="000000" w:themeColor="text1"/>
          <w:position w:val="1"/>
        </w:rPr>
        <w:t>valor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catastral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inmueble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por</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el</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coeficiente</w:t>
      </w:r>
      <w:r w:rsidR="00813685">
        <w:rPr>
          <w:rFonts w:ascii="Open Sans" w:eastAsia="Open Sans" w:hAnsi="Open Sans" w:cs="Open Sans"/>
          <w:color w:val="000000" w:themeColor="text1"/>
          <w:position w:val="1"/>
        </w:rPr>
        <w:t xml:space="preserve"> </w:t>
      </w:r>
      <w:r w:rsidRPr="0053446C">
        <w:rPr>
          <w:rFonts w:ascii="Open Sans" w:eastAsia="Open Sans" w:hAnsi="Open Sans" w:cs="Open Sans"/>
          <w:color w:val="000000" w:themeColor="text1"/>
          <w:position w:val="1"/>
        </w:rPr>
        <w:t>del</w:t>
      </w:r>
      <w:r w:rsidRPr="00414FAF">
        <w:rPr>
          <w:rFonts w:ascii="Open Sans" w:eastAsia="Open Sans" w:hAnsi="Open Sans" w:cs="Open Sans"/>
          <w:color w:val="000000" w:themeColor="text1"/>
          <w:w w:val="101"/>
          <w:position w:val="1"/>
          <w:highlight w:val="red"/>
        </w:rPr>
        <w:t>…</w:t>
      </w:r>
      <w:r w:rsidRPr="00414FAF">
        <w:rPr>
          <w:rStyle w:val="Refdenotaalpie"/>
          <w:rFonts w:ascii="Open Sans" w:eastAsia="Open Sans" w:hAnsi="Open Sans" w:cs="Open Sans"/>
          <w:color w:val="000000" w:themeColor="text1"/>
          <w:w w:val="101"/>
          <w:position w:val="1"/>
        </w:rPr>
        <w:footnoteReference w:id="5"/>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3. Tratándose de bienes inmuebles de características especiales, la reducción en la base imponible únicamente procederá cuando el valor catastral resultante de la aplicación de una nueva Ponencia de valores </w:t>
      </w:r>
      <w:r w:rsidRPr="0053446C">
        <w:rPr>
          <w:rFonts w:ascii="Open Sans" w:hAnsi="Open Sans" w:cs="Open Sans"/>
          <w:color w:val="000000" w:themeColor="text1"/>
        </w:rPr>
        <w:lastRenderedPageBreak/>
        <w:t>especial supere el doble del que, como inmueble de esa clase, tuviera previamente asignado. En defecto de este valor, se tomará como tal el 40 por 100 del que resulte de la nueva Ponencia.</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4. La reducción será aplicable de oficio, con las siguientes normas:</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Se aplicará durante un periodo de nueve años a contar desde la entrada en vigor de los nuevos valores catastrales, sin perjuicio de lo dispuesto en el artículo 70 del Real Decreto Legislativo 2/2004, de 5 de marzo del texto refundido de la Ley Reguladora de las Haciendas Locales.</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La cuantía de la reducción será el resultado de aplicar un coeficiente reductor, único para todos los inmuebles afectados del municipio, a un componente individual de la reducción, calculado para cada inmueble.</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coeficiente reductor tendrá el valor de 0.9 el primer año de su aplicación e irá disminuyendo en 0.1 anualmente hasta su desaparición.</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componente individual será, en cada año, la diferencia positiva entre el nuevo valor catastral que corresponda al inmueble en el primer ejercicio de su vigencia y el valor base. Dicha diferencia se dividirá por el último coeficiente reductor aplicado cuando concurran los supuestos del Artículo 67, apartado 1,b 2º y b)3º del Real Decreto Legislativo 2/2004, de 5 de marzo del texto refundido de la Ley Reguladora de las Haciendas Locales.</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En caso de que la actualización de valores catastrales por aplicación de los coeficientes establecidos en las leyes de Presupuestos Generales del Estado determine un decremento de la base imponible de los inmuebles, el componente individual de la reducción será, en cada año, la diferencia positiva entre el valor catastral resultante de dicha actualización y su valor base. Dicha diferencia se dividirá por el último coeficiente reductor aplicado.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No obstante, tratándose de bienes inmuebles de características especiales el componente individual de la reducción será, en cada año, la diferencia positiva entre el nuevo valor catastral que corresponda al inmueble en el primer ejercicio de su vigencia y el doble del valor a que se refiere el artículo 67.2  que, a estos efectos, se tomará como valor base.</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valor base será la base liquidable del ejercicio inmediato anterior a la entrada en vigor del nuevo valor catastral, salvo las circunstancias señaladas en el artículo 69 del Real Decreto Legislativo 2/2004, de 5 de marzo del texto refundido de la Ley Reguladora de las Haciendas Locales.</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En los casos contemplados en el artículo 67, apartado 1. b) 1º, del Real Decreto Legislativo 2/2004, de 5 de marzo del texto refundido de la Ley Reguladora de las Haciendas Locales, no se iniciará el cómputo de un nuevo periodo de reducción y se extinguirá el derecho a la aplicación del resto de la reducción que viniera aplicándose.</w:t>
      </w:r>
    </w:p>
    <w:p w:rsidR="00F25CFB" w:rsidRPr="0053446C" w:rsidRDefault="00F25CFB" w:rsidP="00F25CFB">
      <w:pPr>
        <w:pStyle w:val="Prrafodelista"/>
        <w:numPr>
          <w:ilvl w:val="0"/>
          <w:numId w:val="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En los casos contemplados en el </w:t>
      </w:r>
      <w:r w:rsidRPr="0053446C">
        <w:rPr>
          <w:rFonts w:ascii="Open Sans" w:hAnsi="Open Sans" w:cs="Open Sans"/>
          <w:color w:val="000000" w:themeColor="text1"/>
          <w:u w:val="single"/>
        </w:rPr>
        <w:t>artículo 67, 1. b), 2º, 3º y 4º, del Real Decreto Legislativo 2/2004</w:t>
      </w:r>
      <w:r w:rsidRPr="0053446C">
        <w:rPr>
          <w:rFonts w:ascii="Open Sans" w:hAnsi="Open Sans" w:cs="Open Sans"/>
          <w:color w:val="000000" w:themeColor="text1"/>
        </w:rPr>
        <w:t xml:space="preserve">, de 5 de marzo del texto refundido de la Ley Reguladora de las Haciendas Locales, no se iniciará el </w:t>
      </w:r>
      <w:r w:rsidRPr="0053446C">
        <w:rPr>
          <w:rFonts w:ascii="Open Sans" w:hAnsi="Open Sans" w:cs="Open Sans"/>
          <w:color w:val="000000" w:themeColor="text1"/>
        </w:rPr>
        <w:lastRenderedPageBreak/>
        <w:t>cómputo de un nuevo período de reducción y el coeficiente de reducción aplicado a los inmuebles afectados tomará el valor correspondiente al resto de los inmuebles del municipio.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5. La reducción no será aplicable al incremento de la base imponible que resulte de la actualización de sus valores catastrales por aplicación de los coeficientes establecidos en las Leyes de Presupuestos Generales del Estado.</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9. CUOTA TRIBUTARIA Y TIPO DE GRAVAMEN.</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 cuota íntegra de este Impuesto será el resultado de aplicar a la base liquidable el tipo de gravamen a que se refiere el apartado siguiente.</w:t>
      </w:r>
    </w:p>
    <w:p w:rsidR="00F25CFB" w:rsidRPr="0053446C" w:rsidRDefault="00F25CFB" w:rsidP="00F25CFB">
      <w:pPr>
        <w:spacing w:after="0" w:line="240" w:lineRule="auto"/>
        <w:jc w:val="both"/>
        <w:rPr>
          <w:rFonts w:ascii="Open Sans" w:hAnsi="Open Sans" w:cs="Open Sans"/>
          <w:color w:val="000000" w:themeColor="text1"/>
        </w:rPr>
      </w:pPr>
    </w:p>
    <w:p w:rsidR="00F25CFB"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Los tipos de gravamen aplicables en este municipio serán los siguientes: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8"/>
        </w:num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Bienes inmuebles de naturaleza urbana:</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Tipo de gravamen general</w:t>
      </w:r>
      <w:r w:rsidRPr="0053446C">
        <w:rPr>
          <w:rFonts w:ascii="Open Sans" w:hAnsi="Open Sans" w:cs="Open Sans"/>
          <w:b/>
          <w:color w:val="000000" w:themeColor="text1"/>
        </w:rPr>
        <w:t xml:space="preserve">: </w:t>
      </w:r>
      <w:r w:rsidRPr="00414FAF">
        <w:rPr>
          <w:rFonts w:ascii="Open Sans" w:hAnsi="Open Sans" w:cs="Open Sans"/>
          <w:b/>
          <w:color w:val="000000" w:themeColor="text1"/>
          <w:highlight w:val="red"/>
        </w:rPr>
        <w:t>…</w:t>
      </w:r>
      <w:r w:rsidRPr="00414FAF">
        <w:rPr>
          <w:rFonts w:ascii="Open Sans" w:hAnsi="Open Sans" w:cs="Open Sans"/>
          <w:b/>
          <w:color w:val="000000" w:themeColor="text1"/>
        </w:rPr>
        <w:t>%</w:t>
      </w:r>
      <w:r w:rsidRPr="00414FAF">
        <w:rPr>
          <w:rStyle w:val="Refdenotaalpie"/>
          <w:rFonts w:ascii="Open Sans" w:hAnsi="Open Sans" w:cs="Open Sans"/>
          <w:color w:val="000000" w:themeColor="text1"/>
        </w:rPr>
        <w:footnoteReference w:id="6"/>
      </w:r>
      <w:r w:rsidRPr="00414FAF">
        <w:rPr>
          <w:rFonts w:ascii="Open Sans" w:hAnsi="Open Sans" w:cs="Open Sans"/>
          <w:b/>
          <w:color w:val="000000" w:themeColor="text1"/>
        </w:rPr>
        <w:t>.</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tipo de gravamen fijado se incrementará con los puntos porcentuales que para cada caso se indican, cuando concurra la/s circunstancia/s siguiente/s:</w:t>
      </w:r>
      <w:r w:rsidRPr="0053446C">
        <w:rPr>
          <w:rStyle w:val="Refdenotaalpie"/>
          <w:rFonts w:ascii="Open Sans" w:hAnsi="Open Sans" w:cs="Open Sans"/>
          <w:color w:val="000000" w:themeColor="text1"/>
        </w:rPr>
        <w:footnoteReference w:id="7"/>
      </w:r>
    </w:p>
    <w:p w:rsidR="00F25CFB" w:rsidRPr="0053446C" w:rsidRDefault="00F25CFB" w:rsidP="00F25CFB">
      <w:pPr>
        <w:pStyle w:val="Prrafodelista"/>
        <w:numPr>
          <w:ilvl w:val="0"/>
          <w:numId w:val="9"/>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Municipios que sean capital de provincia o Comunidad Autónoma: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9"/>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Municipios en los que se preste servicio de transporte público colectivo de superficie: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9"/>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Municipios cuyos ayuntamientos presten más servicios de aquellos a los que están obligados según lo dispuesto en el artículo 26 de la Ley 7/1985, de 2 de abril: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4"/>
        </w:numPr>
        <w:spacing w:after="0" w:line="240" w:lineRule="auto"/>
        <w:jc w:val="both"/>
        <w:rPr>
          <w:rFonts w:ascii="Open Sans" w:hAnsi="Open Sans" w:cs="Open Sans"/>
          <w:b/>
          <w:color w:val="000000" w:themeColor="text1"/>
        </w:rPr>
      </w:pPr>
      <w:r w:rsidRPr="0053446C">
        <w:rPr>
          <w:rFonts w:ascii="Open Sans" w:hAnsi="Open Sans" w:cs="Open Sans"/>
          <w:color w:val="000000" w:themeColor="text1"/>
        </w:rPr>
        <w:t>Para los inmuebles urbanos excluidos los de uso residencial, se aplicarán los tipos de gravamen diferenciados en función de su uso catastral, conforme a lo preceptuado en los párrafos primero y segundo  del apartado 4 del artículo 72 del RDL 2/2004, de 5 de marzo, atendiendo a los usos establecidos en la normativa catastral para la valoración de las construcciones, se determinará el valor catastral mínimo que para cada uno de los usos se regula en el siguiente cuadro</w:t>
      </w:r>
      <w:r w:rsidRPr="0053446C">
        <w:rPr>
          <w:rFonts w:ascii="Open Sans" w:hAnsi="Open Sans" w:cs="Open Sans"/>
          <w:b/>
          <w:color w:val="000000" w:themeColor="text1"/>
        </w:rPr>
        <w:t>:</w:t>
      </w:r>
      <w:r w:rsidRPr="0053446C">
        <w:rPr>
          <w:rStyle w:val="Refdenotaalpie"/>
          <w:rFonts w:ascii="Open Sans" w:hAnsi="Open Sans" w:cs="Open Sans"/>
          <w:color w:val="000000" w:themeColor="text1"/>
        </w:rPr>
        <w:footnoteReference w:id="8"/>
      </w:r>
    </w:p>
    <w:tbl>
      <w:tblPr>
        <w:tblStyle w:val="Cuadrculamedia3-nfasis2"/>
        <w:tblW w:w="7985" w:type="dxa"/>
        <w:tblInd w:w="817" w:type="dxa"/>
        <w:tblLook w:val="04A0" w:firstRow="1" w:lastRow="0" w:firstColumn="1" w:lastColumn="0" w:noHBand="0" w:noVBand="1"/>
      </w:tblPr>
      <w:tblGrid>
        <w:gridCol w:w="2268"/>
        <w:gridCol w:w="3544"/>
        <w:gridCol w:w="2173"/>
      </w:tblGrid>
      <w:tr w:rsidR="00F25CFB" w:rsidRPr="0053446C" w:rsidTr="00A62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p>
          <w:p w:rsidR="00F25CFB" w:rsidRPr="00414FAF" w:rsidRDefault="00F25CFB" w:rsidP="00A62D95">
            <w:pPr>
              <w:jc w:val="center"/>
              <w:rPr>
                <w:rFonts w:ascii="Open Sans" w:hAnsi="Open Sans" w:cs="Open Sans"/>
                <w:sz w:val="20"/>
              </w:rPr>
            </w:pPr>
            <w:r w:rsidRPr="00414FAF">
              <w:rPr>
                <w:rFonts w:ascii="Open Sans" w:hAnsi="Open Sans" w:cs="Open Sans"/>
                <w:sz w:val="20"/>
              </w:rPr>
              <w:t>Tipos de usos</w:t>
            </w:r>
          </w:p>
        </w:tc>
        <w:tc>
          <w:tcPr>
            <w:tcW w:w="3544" w:type="dxa"/>
            <w:shd w:val="clear" w:color="auto" w:fill="808080" w:themeFill="background1" w:themeFillShade="80"/>
            <w:hideMark/>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Valor catastral a partir del cual se aplicará un tipo de gravamen diferenciado</w:t>
            </w:r>
          </w:p>
        </w:tc>
        <w:tc>
          <w:tcPr>
            <w:tcW w:w="2173" w:type="dxa"/>
            <w:shd w:val="clear" w:color="auto" w:fill="808080" w:themeFill="background1" w:themeFillShade="80"/>
            <w:vAlign w:val="center"/>
            <w:hideMark/>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Tipos de gravamen diferenciado</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Comercial</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Ocio y Hostelería</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Industrial</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Deportivo</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Oficinas</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Sanidad</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Edificio singular</w:t>
            </w:r>
          </w:p>
        </w:tc>
        <w:tc>
          <w:tcPr>
            <w:tcW w:w="3544"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r w:rsidR="00F25CFB" w:rsidRPr="0053446C" w:rsidTr="00A62D95">
        <w:tc>
          <w:tcPr>
            <w:cnfStyle w:val="001000000000" w:firstRow="0" w:lastRow="0" w:firstColumn="1" w:lastColumn="0" w:oddVBand="0" w:evenVBand="0" w:oddHBand="0" w:evenHBand="0" w:firstRowFirstColumn="0" w:firstRowLastColumn="0" w:lastRowFirstColumn="0" w:lastRowLastColumn="0"/>
            <w:tcW w:w="2268" w:type="dxa"/>
            <w:shd w:val="clear" w:color="auto" w:fill="808080" w:themeFill="background1" w:themeFillShade="80"/>
            <w:hideMark/>
          </w:tcPr>
          <w:p w:rsidR="00F25CFB" w:rsidRPr="00414FAF" w:rsidRDefault="00F25CFB" w:rsidP="00A62D95">
            <w:pPr>
              <w:jc w:val="center"/>
              <w:rPr>
                <w:rFonts w:ascii="Open Sans" w:hAnsi="Open Sans" w:cs="Open Sans"/>
                <w:sz w:val="20"/>
              </w:rPr>
            </w:pPr>
            <w:r w:rsidRPr="00414FAF">
              <w:rPr>
                <w:rFonts w:ascii="Open Sans" w:hAnsi="Open Sans" w:cs="Open Sans"/>
                <w:sz w:val="20"/>
              </w:rPr>
              <w:t>Espectáculos</w:t>
            </w:r>
          </w:p>
        </w:tc>
        <w:tc>
          <w:tcPr>
            <w:tcW w:w="3544"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c>
          <w:tcPr>
            <w:tcW w:w="2173" w:type="dxa"/>
            <w:shd w:val="clear" w:color="auto" w:fill="D9D9D9" w:themeFill="background1" w:themeFillShade="D9"/>
          </w:tcPr>
          <w:p w:rsidR="00F25CFB" w:rsidRPr="00414FAF" w:rsidRDefault="00F25CFB" w:rsidP="00A62D9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highlight w:val="red"/>
              </w:rPr>
            </w:pPr>
            <w:r w:rsidRPr="00414FAF">
              <w:rPr>
                <w:rFonts w:ascii="Open Sans" w:hAnsi="Open Sans" w:cs="Open Sans"/>
                <w:color w:val="000000" w:themeColor="text1"/>
                <w:sz w:val="20"/>
                <w:highlight w:val="red"/>
              </w:rPr>
              <w:t>...%</w:t>
            </w:r>
          </w:p>
        </w:tc>
      </w:tr>
    </w:tbl>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Los tipos de gravamen diferenciados a que se refiere este apartado sólo podrán aplicarse, como máximo, al 10 por ciento de los bienes inmuebles que, para cada uso, tengan mayor valor catastral.</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Cuando los inmuebles tengan atribuidos varios usos se aplicará el tipo correspondiente al uso de la edificación o dependencia principal.</w:t>
      </w:r>
    </w:p>
    <w:p w:rsidR="00F25CFB" w:rsidRPr="0053446C" w:rsidRDefault="00F25CFB" w:rsidP="00F25CFB">
      <w:pPr>
        <w:spacing w:after="0" w:line="240" w:lineRule="auto"/>
        <w:ind w:left="708"/>
        <w:jc w:val="both"/>
        <w:rPr>
          <w:rFonts w:ascii="Open Sans" w:hAnsi="Open Sans" w:cs="Open Sans"/>
          <w:color w:val="000000" w:themeColor="text1"/>
        </w:rPr>
      </w:pPr>
    </w:p>
    <w:p w:rsidR="00F25CFB" w:rsidRPr="0053446C" w:rsidRDefault="00F25CFB" w:rsidP="00F25CFB">
      <w:pPr>
        <w:pStyle w:val="Prrafodelista"/>
        <w:numPr>
          <w:ilvl w:val="0"/>
          <w:numId w:val="8"/>
        </w:numPr>
        <w:spacing w:after="0" w:line="240" w:lineRule="auto"/>
        <w:jc w:val="both"/>
        <w:rPr>
          <w:rFonts w:ascii="Open Sans" w:hAnsi="Open Sans" w:cs="Open Sans"/>
          <w:color w:val="000000" w:themeColor="text1"/>
        </w:rPr>
      </w:pPr>
      <w:r w:rsidRPr="0053446C">
        <w:rPr>
          <w:rFonts w:ascii="Open Sans" w:hAnsi="Open Sans" w:cs="Open Sans"/>
          <w:b/>
          <w:color w:val="000000" w:themeColor="text1"/>
        </w:rPr>
        <w:t>Bienes inmuebles de naturaleza rústica</w:t>
      </w:r>
      <w:r w:rsidRPr="0053446C">
        <w:rPr>
          <w:rFonts w:ascii="Open Sans" w:hAnsi="Open Sans" w:cs="Open Sans"/>
          <w:color w:val="000000" w:themeColor="text1"/>
        </w:rPr>
        <w:t>:</w:t>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Tipo de gravamen general</w:t>
      </w:r>
      <w:r w:rsidRPr="0053446C">
        <w:rPr>
          <w:rFonts w:ascii="Open Sans" w:hAnsi="Open Sans" w:cs="Open Sans"/>
          <w:b/>
          <w:color w:val="000000" w:themeColor="text1"/>
        </w:rPr>
        <w:t xml:space="preserve">: </w:t>
      </w:r>
      <w:r w:rsidRPr="00414FAF">
        <w:rPr>
          <w:rFonts w:ascii="Open Sans" w:hAnsi="Open Sans" w:cs="Open Sans"/>
          <w:b/>
          <w:color w:val="000000" w:themeColor="text1"/>
          <w:highlight w:val="red"/>
        </w:rPr>
        <w:t>…</w:t>
      </w:r>
      <w:r w:rsidRPr="0053446C">
        <w:rPr>
          <w:rFonts w:ascii="Open Sans" w:hAnsi="Open Sans" w:cs="Open Sans"/>
          <w:b/>
          <w:color w:val="000000" w:themeColor="text1"/>
        </w:rPr>
        <w:t>%.</w:t>
      </w:r>
      <w:r w:rsidRPr="0053446C">
        <w:rPr>
          <w:rStyle w:val="Refdenotaalpie"/>
          <w:rFonts w:ascii="Open Sans" w:hAnsi="Open Sans" w:cs="Open Sans"/>
          <w:color w:val="000000" w:themeColor="text1"/>
        </w:rPr>
        <w:footnoteReference w:id="9"/>
      </w:r>
    </w:p>
    <w:p w:rsidR="00F25CFB" w:rsidRPr="0053446C" w:rsidRDefault="00F25CFB" w:rsidP="00F25CFB">
      <w:pPr>
        <w:pStyle w:val="Prrafodelista"/>
        <w:numPr>
          <w:ilvl w:val="0"/>
          <w:numId w:val="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tipo de gravamen fijado se incrementará con los puntos porcentuales que para cada caso se indican, cuando concurra la/s circunstancia/s siguiente/s:</w:t>
      </w:r>
      <w:r w:rsidRPr="0053446C">
        <w:rPr>
          <w:rStyle w:val="Refdenotaalpie"/>
          <w:rFonts w:ascii="Open Sans" w:hAnsi="Open Sans" w:cs="Open Sans"/>
          <w:color w:val="000000" w:themeColor="text1"/>
        </w:rPr>
        <w:footnoteReference w:id="10"/>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que sean capital de provincia o Comunidad Autónoma: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en los que se preste servicio de transporte público colectivo de superficie: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cuyos ayuntamientos presten más servicios de aquellos a los que están obligados según lo dispuesto en el artículo 26 de la Ley 7/1985, de 2 de abril: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rPr>
      </w:pPr>
      <w:r w:rsidRPr="0053446C">
        <w:rPr>
          <w:rFonts w:ascii="Open Sans" w:hAnsi="Open Sans" w:cs="Open Sans"/>
          <w:color w:val="000000" w:themeColor="text1"/>
        </w:rPr>
        <w:t xml:space="preserve">Municipios en los que los terrenos de naturaleza rústica representan más del 80 por 100 de la superficie total del término: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spacing w:after="0" w:line="240" w:lineRule="auto"/>
        <w:ind w:left="1080"/>
        <w:jc w:val="both"/>
        <w:rPr>
          <w:rFonts w:ascii="Open Sans" w:hAnsi="Open Sans" w:cs="Open Sans"/>
          <w:color w:val="000000" w:themeColor="text1"/>
          <w:highlight w:val="lightGray"/>
        </w:rPr>
      </w:pPr>
    </w:p>
    <w:p w:rsidR="00F25CFB" w:rsidRPr="0053446C" w:rsidRDefault="00F25CFB" w:rsidP="00F25CFB">
      <w:pPr>
        <w:pStyle w:val="Prrafodelista"/>
        <w:numPr>
          <w:ilvl w:val="0"/>
          <w:numId w:val="8"/>
        </w:numPr>
        <w:spacing w:after="0" w:line="240" w:lineRule="auto"/>
        <w:jc w:val="both"/>
        <w:rPr>
          <w:rFonts w:ascii="Open Sans" w:hAnsi="Open Sans" w:cs="Open Sans"/>
          <w:color w:val="000000" w:themeColor="text1"/>
        </w:rPr>
      </w:pPr>
      <w:r w:rsidRPr="0053446C">
        <w:rPr>
          <w:rFonts w:ascii="Open Sans" w:hAnsi="Open Sans" w:cs="Open Sans"/>
          <w:b/>
          <w:color w:val="000000" w:themeColor="text1"/>
        </w:rPr>
        <w:t>Bienes inmuebles de características especiales</w:t>
      </w:r>
      <w:r w:rsidRPr="0053446C">
        <w:rPr>
          <w:rFonts w:ascii="Open Sans" w:hAnsi="Open Sans" w:cs="Open Sans"/>
          <w:color w:val="000000" w:themeColor="text1"/>
        </w:rPr>
        <w:t>:</w:t>
      </w:r>
    </w:p>
    <w:p w:rsidR="00F25CFB" w:rsidRPr="0053446C" w:rsidRDefault="00F25CFB" w:rsidP="00F25CFB">
      <w:pPr>
        <w:pStyle w:val="Prrafodelista"/>
        <w:numPr>
          <w:ilvl w:val="0"/>
          <w:numId w:val="1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Tipo de gravamen general</w:t>
      </w:r>
      <w:r w:rsidRPr="0053446C">
        <w:rPr>
          <w:rFonts w:ascii="Open Sans" w:hAnsi="Open Sans" w:cs="Open Sans"/>
          <w:b/>
          <w:color w:val="000000" w:themeColor="text1"/>
        </w:rPr>
        <w:t xml:space="preserve">: </w:t>
      </w:r>
      <w:r w:rsidRPr="00414FAF">
        <w:rPr>
          <w:rFonts w:ascii="Open Sans" w:hAnsi="Open Sans" w:cs="Open Sans"/>
          <w:b/>
          <w:color w:val="000000" w:themeColor="text1"/>
          <w:highlight w:val="red"/>
        </w:rPr>
        <w:t>…</w:t>
      </w:r>
      <w:r w:rsidRPr="0053446C">
        <w:rPr>
          <w:rFonts w:ascii="Open Sans" w:hAnsi="Open Sans" w:cs="Open Sans"/>
          <w:b/>
          <w:color w:val="000000" w:themeColor="text1"/>
        </w:rPr>
        <w:t>%.</w:t>
      </w:r>
      <w:r w:rsidRPr="0053446C">
        <w:rPr>
          <w:rStyle w:val="Refdenotaalpie"/>
          <w:rFonts w:ascii="Open Sans" w:hAnsi="Open Sans" w:cs="Open Sans"/>
          <w:color w:val="000000" w:themeColor="text1"/>
        </w:rPr>
        <w:footnoteReference w:id="11"/>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La cuota líquida se obtendrá minorando la cuota íntegra en el importe de las bonificaciones previstas en el artículo siguiente.</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10. BONIFICACIONES.</w:t>
      </w:r>
    </w:p>
    <w:p w:rsidR="00F25CFB" w:rsidRPr="0053446C" w:rsidRDefault="00F25CFB" w:rsidP="00F25CFB">
      <w:pPr>
        <w:jc w:val="both"/>
        <w:rPr>
          <w:rFonts w:ascii="Open Sans" w:hAnsi="Open Sans" w:cs="Open Sans"/>
          <w:color w:val="000000" w:themeColor="text1"/>
        </w:rPr>
      </w:pPr>
      <w:r w:rsidRPr="0053446C">
        <w:rPr>
          <w:rFonts w:ascii="Open Sans" w:eastAsiaTheme="minorEastAsia" w:hAnsi="Open Sans" w:cs="Open Sans"/>
          <w:color w:val="000000" w:themeColor="text1"/>
          <w:lang w:eastAsia="es-ES"/>
        </w:rPr>
        <w:t>1. De acuerdo con lo establecido en los artículos 73 y 74 del Real Decreto 2/2004, de 5 de marzo, se establecen las siguientes bonificaciones</w:t>
      </w:r>
      <w:r w:rsidRPr="0053446C">
        <w:rPr>
          <w:rFonts w:ascii="Open Sans" w:hAnsi="Open Sans" w:cs="Open Sans"/>
          <w:color w:val="000000" w:themeColor="text1"/>
        </w:rPr>
        <w:t>:</w:t>
      </w: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r w:rsidRPr="0053446C">
        <w:rPr>
          <w:rStyle w:val="Refdenotaalpie"/>
          <w:rFonts w:ascii="Open Sans" w:hAnsi="Open Sans" w:cs="Open Sans"/>
          <w:color w:val="000000" w:themeColor="text1"/>
        </w:rPr>
        <w:footnoteReference w:id="12"/>
      </w:r>
      <w:r w:rsidRPr="0053446C">
        <w:rPr>
          <w:rFonts w:ascii="Open Sans" w:hAnsi="Open Sans" w:cs="Open Sans"/>
          <w:color w:val="000000" w:themeColor="text1"/>
        </w:rPr>
        <w:t xml:space="preserve">  en la cuota íntegra del impuesto los inmuebles que constituyan el objeto de la actividad de las empresas de urbanización, construcción y promoción inmobiliaria tanto de obra nueva como de rehabilitación equiparable a ésta, y no figuren entre los bienes de su inmovilizado. </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Si las obras de nueva construcción o de rehabilitación integral afectasen a diversos solares, en la solicitud se detallarán las referencias catastrales de los diferentes solares.</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 antes del inicio de las obras.</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1"/>
          <w:numId w:val="1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Acreditación de que el inmueble objeto de la bonificación no forma parte del inmovilizado, que se hará mediante  certificación del Administrador de la Sociedad o certificación del último balance del Impuesto de Sociedades presentado ante la AEAT.</w:t>
      </w:r>
    </w:p>
    <w:p w:rsidR="00F25CFB" w:rsidRPr="0053446C" w:rsidRDefault="00F25CFB" w:rsidP="00F25CFB">
      <w:pPr>
        <w:pStyle w:val="Prrafodelista"/>
        <w:numPr>
          <w:ilvl w:val="1"/>
          <w:numId w:val="1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Acreditación de la fecha de inicio de las obras de urbanización o construcción mediante certificado del Técnico-Director competente de las mismas, visado por el Colegio Profesional. Si en el momento de presentación de la solicitud no se dispusiese de este documento, el mismo deberá ser presentado como documentación complementaria cuando se obtuviese.</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El plazo de aplicación de esta bonificación comprenderá desde el período impositivo siguiente a aquel en que se inicien las obras hasta el posterior a la terminación de las mismas, siempre que durante ese tiempo se realicen obras de urbanización o construcción efectiva, y sin que, en ningún caso, pueda exceder de tres periodos impositivos.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AC5326">
        <w:rPr>
          <w:rFonts w:ascii="Open Sans" w:hAnsi="Open Sans" w:cs="Open Sans"/>
          <w:color w:val="000000" w:themeColor="text1"/>
        </w:rPr>
        <w:lastRenderedPageBreak/>
        <w:t>Tendrán derecho a una</w:t>
      </w:r>
      <w:r>
        <w:rPr>
          <w:rFonts w:ascii="Open Sans" w:hAnsi="Open Sans" w:cs="Open Sans"/>
          <w:color w:val="000000" w:themeColor="text1"/>
        </w:rPr>
        <w:t xml:space="preserve"> bonificación</w:t>
      </w:r>
      <w:r w:rsidR="00813685">
        <w:rPr>
          <w:rFonts w:ascii="Open Sans" w:hAnsi="Open Sans" w:cs="Open Sans"/>
          <w:color w:val="000000" w:themeColor="text1"/>
        </w:rPr>
        <w:t xml:space="preserve"> </w:t>
      </w:r>
      <w:r>
        <w:rPr>
          <w:rFonts w:ascii="Open Sans" w:hAnsi="Open Sans" w:cs="Open Sans"/>
          <w:color w:val="000000" w:themeColor="text1"/>
        </w:rPr>
        <w:t>l</w:t>
      </w:r>
      <w:r w:rsidRPr="0053446C">
        <w:rPr>
          <w:rFonts w:ascii="Open Sans" w:hAnsi="Open Sans" w:cs="Open Sans"/>
          <w:color w:val="000000" w:themeColor="text1"/>
        </w:rPr>
        <w:t>as viviendas de protección oficial y las equiparables a estas según las normas de la Comunidad Autónoma, disfrutarán de una bonificación del 50 por 100 durante el plazo de tres años, contados desde el año siguiente a la fecha del otorgamiento de la calificación definitiva.</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Esta bonificación ostenta carácter rogado, pudiendo efectuarse su solicitud en cualquier momento anterior a la terminación de los tres periodos impositivos de duración de la misma y surtirá efectos, en su caso, desde el periodo impositivo siguiente a aquel en que se solicite. </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6"/>
        </w:num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Certificado de calificación de Vivienda de Protección Oficial.</w:t>
      </w:r>
    </w:p>
    <w:p w:rsidR="00F25CFB" w:rsidRPr="0053446C" w:rsidRDefault="00F25CFB" w:rsidP="00F25CFB">
      <w:pPr>
        <w:pStyle w:val="Prrafodelista"/>
        <w:numPr>
          <w:ilvl w:val="0"/>
          <w:numId w:val="1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En el supuesto de no figurar como titular catastral del inmueble, será necesario aportar  documento acreditativo de la titularidad del bien inmueble. </w:t>
      </w:r>
    </w:p>
    <w:p w:rsidR="00F25CFB" w:rsidRPr="0053446C" w:rsidRDefault="00F25CFB" w:rsidP="00F25CFB">
      <w:pPr>
        <w:pStyle w:val="Prrafodelista"/>
        <w:numPr>
          <w:ilvl w:val="0"/>
          <w:numId w:val="16"/>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En caso de no coincidir el domicilio obrante en el certificado de calificación de la VPO con el recogido en el Catastro Inmobiliario, se debe aportar certificado del Ayuntamiento en el que se haga constar que el domicilio tributario del impuesto se corresponde con el que consta en el Certificado de calificación de VPO aportado.</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Además, y cuando concurran los requisitos previstos en este punto, las viviendas de protección oficial y las equiparables a estas según las normas de la Comunidad Autónoma, una vez transcurrido el plazo de tres años señalado en el punto uno anterior, contados desde el otorgamiento de la calificación definitiva, disfrutarán de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por periodo de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años.</w:t>
      </w:r>
      <w:r w:rsidRPr="0053446C">
        <w:rPr>
          <w:rStyle w:val="Refdenotaalpie"/>
          <w:rFonts w:ascii="Open Sans" w:hAnsi="Open Sans" w:cs="Open Sans"/>
          <w:color w:val="000000" w:themeColor="text1"/>
        </w:rPr>
        <w:footnoteReference w:id="13"/>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Esta bonificación ostenta carácter rogado, pudiendo efectuarse su solicitud en cualquier momento anterior a la terminación de los  periodos impositivos de duración de la misma y surtirá efectos, en su caso, desde el periodo impositivo siguiente a aquel en que se solicite. </w:t>
      </w:r>
    </w:p>
    <w:p w:rsidR="00F25CFB" w:rsidRPr="0053446C"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7"/>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Certificado del Ayuntamiento de que la vivienda de la que se solicita el beneficio fiscal es el domicilio habitual del sujeto pasivo del Impuesto.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95% de la cuota íntegra y, en su caso, del recargo del Impuesto a que se refiere el artículo 153 del Real Decreto Legislativo 2/2004, de 5 de marzo del texto refundido de la Ley Reguladora de las Haciendas Locales, los bienes rústicos de </w:t>
      </w:r>
      <w:r w:rsidRPr="0053446C">
        <w:rPr>
          <w:rFonts w:ascii="Open Sans" w:hAnsi="Open Sans" w:cs="Open Sans"/>
          <w:color w:val="000000" w:themeColor="text1"/>
        </w:rPr>
        <w:lastRenderedPageBreak/>
        <w:t>las Cooperativas Agrarias y de Explotación comunitaria de la tierra, en los términos establecidos en la Ley 20/1990, de 19 de diciembre, sobre Régimen Fiscal de las Cooperativas.</w:t>
      </w:r>
    </w:p>
    <w:p w:rsidR="00F25CFB" w:rsidRPr="0053446C" w:rsidRDefault="00F25CFB" w:rsidP="00F25CFB">
      <w:pPr>
        <w:pStyle w:val="Prrafodelista"/>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de la cuota íntegra, durante el tiempo que se indican, los bienes inmuebles urbanos enclavados en las áreas o zonas que se relacionan a continuación, conforme a las especificaciones señaladas:</w:t>
      </w:r>
      <w:r w:rsidRPr="0053446C">
        <w:rPr>
          <w:rStyle w:val="Refdenotaalpie"/>
          <w:rFonts w:ascii="Open Sans" w:hAnsi="Open Sans" w:cs="Open Sans"/>
          <w:color w:val="000000" w:themeColor="text1"/>
        </w:rPr>
        <w:footnoteReference w:id="14"/>
      </w:r>
    </w:p>
    <w:p w:rsidR="00F25CFB" w:rsidRPr="0053446C" w:rsidRDefault="00F25CFB" w:rsidP="00F25CFB">
      <w:pPr>
        <w:spacing w:after="0" w:line="240" w:lineRule="auto"/>
        <w:jc w:val="both"/>
        <w:rPr>
          <w:rFonts w:ascii="Open Sans" w:hAnsi="Open Sans" w:cs="Open Sans"/>
          <w:color w:val="000000" w:themeColor="text1"/>
        </w:rPr>
      </w:pPr>
    </w:p>
    <w:tbl>
      <w:tblPr>
        <w:tblStyle w:val="Sombreadomedio1-nfasis2"/>
        <w:tblW w:w="0" w:type="auto"/>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Look w:val="04A0" w:firstRow="1" w:lastRow="0" w:firstColumn="1" w:lastColumn="0" w:noHBand="0" w:noVBand="1"/>
      </w:tblPr>
      <w:tblGrid>
        <w:gridCol w:w="2129"/>
        <w:gridCol w:w="2140"/>
        <w:gridCol w:w="2276"/>
        <w:gridCol w:w="2175"/>
      </w:tblGrid>
      <w:tr w:rsidR="00F25CFB" w:rsidRPr="0053446C" w:rsidTr="00A62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rPr>
                <w:rFonts w:ascii="Open Sans" w:hAnsi="Open Sans" w:cs="Open Sans"/>
                <w:sz w:val="20"/>
              </w:rPr>
            </w:pPr>
            <w:r w:rsidRPr="00414FAF">
              <w:rPr>
                <w:rFonts w:ascii="Open Sans" w:hAnsi="Open Sans" w:cs="Open Sans"/>
                <w:sz w:val="20"/>
              </w:rPr>
              <w:t>ZONA</w:t>
            </w:r>
          </w:p>
        </w:tc>
        <w:tc>
          <w:tcPr>
            <w:tcW w:w="2186"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USO SUELO</w:t>
            </w:r>
          </w:p>
        </w:tc>
        <w:tc>
          <w:tcPr>
            <w:tcW w:w="2285"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TIPOLOGÍA DE CONSTRUCCIÓN</w:t>
            </w:r>
          </w:p>
        </w:tc>
        <w:tc>
          <w:tcPr>
            <w:tcW w:w="2213" w:type="dxa"/>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F25CFB" w:rsidRPr="00414FAF" w:rsidRDefault="00F25CFB" w:rsidP="00A62D9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414FAF">
              <w:rPr>
                <w:rFonts w:ascii="Open Sans" w:hAnsi="Open Sans" w:cs="Open Sans"/>
                <w:sz w:val="20"/>
              </w:rPr>
              <w:t>NÚMERO DE AÑOS</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right w:val="none" w:sz="0" w:space="0" w:color="auto"/>
            </w:tcBorders>
            <w:shd w:val="clear" w:color="auto" w:fill="F2F2F2" w:themeFill="background1" w:themeFillShade="F2"/>
          </w:tcPr>
          <w:p w:rsidR="00F25CFB" w:rsidRPr="00414FAF" w:rsidRDefault="00F25CFB" w:rsidP="00A62D95">
            <w:pPr>
              <w:jc w:val="center"/>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186"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85"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13" w:type="dxa"/>
            <w:tcBorders>
              <w:lef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r>
      <w:tr w:rsidR="00F25CFB" w:rsidRPr="0053446C" w:rsidTr="00A62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right w:val="none" w:sz="0" w:space="0" w:color="auto"/>
            </w:tcBorders>
            <w:shd w:val="clear" w:color="auto" w:fill="F2F2F2" w:themeFill="background1" w:themeFillShade="F2"/>
          </w:tcPr>
          <w:p w:rsidR="00F25CFB" w:rsidRPr="00414FAF" w:rsidRDefault="00F25CFB" w:rsidP="00A62D95">
            <w:pPr>
              <w:jc w:val="center"/>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186"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85"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13" w:type="dxa"/>
            <w:tcBorders>
              <w:left w:val="none" w:sz="0" w:space="0" w:color="auto"/>
            </w:tcBorders>
            <w:shd w:val="clear" w:color="auto" w:fill="F2F2F2" w:themeFill="background1" w:themeFillShade="F2"/>
          </w:tcPr>
          <w:p w:rsidR="00F25CFB" w:rsidRPr="00414FAF" w:rsidRDefault="00F25CFB" w:rsidP="00A62D95">
            <w:pPr>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r>
      <w:tr w:rsidR="00F25CFB" w:rsidRPr="0053446C" w:rsidTr="00A62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tcBorders>
              <w:right w:val="none" w:sz="0" w:space="0" w:color="auto"/>
            </w:tcBorders>
            <w:shd w:val="clear" w:color="auto" w:fill="F2F2F2" w:themeFill="background1" w:themeFillShade="F2"/>
          </w:tcPr>
          <w:p w:rsidR="00F25CFB" w:rsidRPr="00414FAF" w:rsidRDefault="00F25CFB" w:rsidP="00A62D95">
            <w:pPr>
              <w:jc w:val="center"/>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186"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85" w:type="dxa"/>
            <w:tcBorders>
              <w:left w:val="none" w:sz="0" w:space="0" w:color="auto"/>
              <w:righ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c>
          <w:tcPr>
            <w:tcW w:w="2213" w:type="dxa"/>
            <w:tcBorders>
              <w:left w:val="none" w:sz="0" w:space="0" w:color="auto"/>
            </w:tcBorders>
            <w:shd w:val="clear" w:color="auto" w:fill="F2F2F2" w:themeFill="background1" w:themeFillShade="F2"/>
          </w:tcPr>
          <w:p w:rsidR="00F25CFB" w:rsidRPr="00414FAF" w:rsidRDefault="00F25CFB" w:rsidP="00A62D9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highlight w:val="red"/>
              </w:rPr>
            </w:pPr>
            <w:r w:rsidRPr="00414FAF">
              <w:rPr>
                <w:rFonts w:ascii="Open Sans" w:hAnsi="Open Sans" w:cs="Open Sans"/>
                <w:color w:val="000000" w:themeColor="text1"/>
                <w:highlight w:val="red"/>
              </w:rPr>
              <w:t>…</w:t>
            </w:r>
          </w:p>
        </w:tc>
      </w:tr>
    </w:tbl>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ind w:left="709"/>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w:t>
      </w:r>
      <w:r w:rsidR="00C568C9">
        <w:rPr>
          <w:rFonts w:ascii="Open Sans" w:hAnsi="Open Sans" w:cs="Open Sans"/>
          <w:color w:val="000000" w:themeColor="text1"/>
        </w:rPr>
        <w:t xml:space="preserve"> </w:t>
      </w:r>
      <w:r w:rsidRPr="00315623">
        <w:rPr>
          <w:rFonts w:ascii="Open Sans" w:hAnsi="Open Sans" w:cs="Open Sans"/>
          <w:color w:val="000000" w:themeColor="text1"/>
        </w:rPr>
        <w:t xml:space="preserve">El plazo de solicitud de </w:t>
      </w:r>
      <w:r>
        <w:rPr>
          <w:rFonts w:ascii="Open Sans" w:hAnsi="Open Sans" w:cs="Open Sans"/>
          <w:color w:val="000000" w:themeColor="text1"/>
        </w:rPr>
        <w:t xml:space="preserve">esta bonificación </w:t>
      </w:r>
      <w:r w:rsidRPr="00315623">
        <w:rPr>
          <w:rFonts w:ascii="Open Sans" w:hAnsi="Open Sans" w:cs="Open Sans"/>
          <w:color w:val="000000" w:themeColor="text1"/>
        </w:rPr>
        <w:t xml:space="preserve">será el comprendido entre 1 de octubre del ejercicio anterior al periodo impositivo y el 1 de </w:t>
      </w:r>
      <w:r>
        <w:rPr>
          <w:rFonts w:ascii="Open Sans" w:hAnsi="Open Sans" w:cs="Open Sans"/>
          <w:color w:val="000000" w:themeColor="text1"/>
        </w:rPr>
        <w:t>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de la cuota íntegra del impuesto, los bienes inmuebles excluidos de la exención a que se refiere el último párrafo de la letra b) del apartado 2 del artículo 62 del RDL 2/2004, de 5 de marzo, por el que se aprueba el Texto Refundido de las Haciendas Locales.</w:t>
      </w:r>
      <w:r w:rsidRPr="0053446C">
        <w:rPr>
          <w:rStyle w:val="Refdenotaalpie"/>
          <w:rFonts w:ascii="Open Sans" w:hAnsi="Open Sans" w:cs="Open Sans"/>
          <w:color w:val="000000" w:themeColor="text1"/>
        </w:rPr>
        <w:footnoteReference w:id="15"/>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1"/>
          <w:numId w:val="18"/>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Declaración del Ayuntamiento certificando que el inmueble cumple las condiciones de encontrarse situado en zonas arqueológicas o conjuntos históricos</w:t>
      </w:r>
      <w:r>
        <w:rPr>
          <w:rFonts w:ascii="Open Sans" w:hAnsi="Open Sans" w:cs="Open Sans"/>
          <w:color w:val="000000" w:themeColor="text1"/>
        </w:rPr>
        <w:t>.</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315623">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de la cuota íntegra del impuesto, los inmuebles en los que se desarrollen actividades económicas que sean declaradas de especial interés o utilidad municipal por concurrir circunstancias sociales, culturales, histórico </w:t>
      </w:r>
      <w:r w:rsidRPr="0053446C">
        <w:rPr>
          <w:rFonts w:ascii="Open Sans" w:hAnsi="Open Sans" w:cs="Open Sans"/>
          <w:color w:val="000000" w:themeColor="text1"/>
        </w:rPr>
        <w:lastRenderedPageBreak/>
        <w:t>artísticas o de fomento del empleo que justifiquen tal declaración, y mientras persistan las condiciones por las que se les otorgó dicha calificación. Corresponderá dicha declaración al Pleno de la Corporación y se acordará, previa solicitud del sujeto pasivo, por voto favorable de la mayoría simple de sus miembros.</w:t>
      </w:r>
      <w:r w:rsidRPr="0053446C">
        <w:rPr>
          <w:rStyle w:val="Refdenotaalpie"/>
          <w:rFonts w:ascii="Open Sans" w:hAnsi="Open Sans" w:cs="Open Sans"/>
          <w:color w:val="000000" w:themeColor="text1"/>
        </w:rPr>
        <w:footnoteReference w:id="16"/>
      </w:r>
    </w:p>
    <w:p w:rsidR="00F25CFB" w:rsidRPr="0053446C" w:rsidRDefault="00F25CFB" w:rsidP="00F25CFB">
      <w:pPr>
        <w:pStyle w:val="Prrafodelista"/>
        <w:spacing w:after="0" w:line="240" w:lineRule="auto"/>
        <w:jc w:val="both"/>
        <w:rPr>
          <w:rFonts w:ascii="Open Sans" w:hAnsi="Open Sans" w:cs="Open Sans"/>
          <w:color w:val="000000" w:themeColor="text1"/>
        </w:rPr>
      </w:pPr>
      <w:r w:rsidRPr="0053446C">
        <w:rPr>
          <w:rFonts w:ascii="Open Sans" w:hAnsi="Open Sans" w:cs="Open Sans"/>
          <w:color w:val="000000" w:themeColor="text1"/>
        </w:rPr>
        <w:t>La concesión de esta</w:t>
      </w:r>
      <w:r w:rsidR="00C568C9">
        <w:rPr>
          <w:rFonts w:ascii="Open Sans" w:hAnsi="Open Sans" w:cs="Open Sans"/>
          <w:color w:val="000000" w:themeColor="text1"/>
        </w:rPr>
        <w:t xml:space="preserve"> </w:t>
      </w:r>
      <w:r w:rsidR="00C00D97" w:rsidRPr="00CF224D">
        <w:rPr>
          <w:rFonts w:ascii="Open Sans" w:hAnsi="Open Sans" w:cs="Open Sans"/>
          <w:color w:val="000000" w:themeColor="text1"/>
        </w:rPr>
        <w:t>bonificación</w:t>
      </w:r>
      <w:r w:rsidRPr="0053446C">
        <w:rPr>
          <w:rFonts w:ascii="Open Sans" w:hAnsi="Open Sans" w:cs="Open Sans"/>
          <w:color w:val="000000" w:themeColor="text1"/>
        </w:rPr>
        <w:t xml:space="preserve"> requiere solicitud previa por parte del sujeto pasivo. Junto a la solicitud de esta bonificación deberá aportarse la siguiente documentación acreditativa: </w:t>
      </w:r>
    </w:p>
    <w:p w:rsidR="00F25CFB" w:rsidRPr="0053446C" w:rsidRDefault="00F25CFB" w:rsidP="00F25CFB">
      <w:pPr>
        <w:pStyle w:val="Prrafodelista"/>
        <w:numPr>
          <w:ilvl w:val="1"/>
          <w:numId w:val="18"/>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Declaración de especial interés o utilidad municipal concedida por el Pleno del Ayuntamiento.</w:t>
      </w:r>
    </w:p>
    <w:p w:rsidR="00F25CFB" w:rsidRPr="0053446C" w:rsidRDefault="00F25CFB" w:rsidP="00F25CFB">
      <w:pPr>
        <w:spacing w:after="0" w:line="240" w:lineRule="auto"/>
        <w:ind w:left="708"/>
        <w:jc w:val="both"/>
        <w:rPr>
          <w:rFonts w:ascii="Open Sans" w:hAnsi="Open Sans" w:cs="Open Sans"/>
          <w:strike/>
          <w:color w:val="000000" w:themeColor="text1"/>
          <w:highlight w:val="lightGray"/>
        </w:rPr>
      </w:pPr>
      <w:r w:rsidRPr="00315623">
        <w:rPr>
          <w:rFonts w:ascii="Open Sans" w:hAnsi="Open Sans" w:cs="Open Sans"/>
          <w:color w:val="000000" w:themeColor="text1"/>
        </w:rPr>
        <w:t xml:space="preserve">El plazo de solicitud de esta bonificación será el comprendido entre 1 de octubre del ejercicio anterior al periodo impositivo y el 1 de </w:t>
      </w:r>
      <w:r>
        <w:rPr>
          <w:rFonts w:ascii="Open Sans" w:hAnsi="Open Sans" w:cs="Open Sans"/>
          <w:color w:val="000000" w:themeColor="text1"/>
        </w:rPr>
        <w:t>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pStyle w:val="Prrafodelista"/>
        <w:numPr>
          <w:ilvl w:val="0"/>
          <w:numId w:val="15"/>
        </w:num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Tendrán derecho a una</w:t>
      </w:r>
      <w:r>
        <w:rPr>
          <w:rFonts w:ascii="Open Sans" w:hAnsi="Open Sans" w:cs="Open Sans"/>
          <w:color w:val="000000" w:themeColor="text1"/>
        </w:rPr>
        <w:t xml:space="preserve"> bonificación</w:t>
      </w:r>
      <w:r w:rsidR="00825D8D">
        <w:rPr>
          <w:rFonts w:ascii="Open Sans" w:hAnsi="Open Sans" w:cs="Open Sans"/>
          <w:color w:val="000000" w:themeColor="text1"/>
        </w:rPr>
        <w:t xml:space="preserve"> </w:t>
      </w:r>
      <w:r>
        <w:rPr>
          <w:rFonts w:ascii="Open Sans" w:hAnsi="Open Sans" w:cs="Open Sans"/>
          <w:color w:val="000000" w:themeColor="text1"/>
        </w:rPr>
        <w:t>l</w:t>
      </w:r>
      <w:r w:rsidRPr="0053446C">
        <w:rPr>
          <w:rFonts w:ascii="Open Sans" w:hAnsi="Open Sans" w:cs="Open Sans"/>
          <w:color w:val="000000" w:themeColor="text1"/>
        </w:rPr>
        <w:t xml:space="preserve">os bienes de características especiales 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de la cuota íntegra del impuesto, durante un plazo de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periodos impositivos a contar desde el periodo impositivo siguiente al de su solicitud.</w:t>
      </w:r>
      <w:r w:rsidRPr="0053446C">
        <w:rPr>
          <w:rStyle w:val="Refdenotaalpie"/>
          <w:rFonts w:ascii="Open Sans" w:hAnsi="Open Sans" w:cs="Open Sans"/>
          <w:color w:val="000000" w:themeColor="text1"/>
        </w:rPr>
        <w:footnoteReference w:id="17"/>
      </w:r>
      <w:r w:rsidRPr="0053446C">
        <w:rPr>
          <w:rFonts w:ascii="Open Sans" w:hAnsi="Open Sans" w:cs="Open Sans"/>
          <w:color w:val="000000" w:themeColor="text1"/>
        </w:rPr>
        <w:t>.</w:t>
      </w:r>
    </w:p>
    <w:p w:rsidR="00F25CFB" w:rsidRDefault="00F25CFB" w:rsidP="00F25CFB">
      <w:pPr>
        <w:spacing w:after="0" w:line="240" w:lineRule="auto"/>
        <w:ind w:left="708"/>
        <w:jc w:val="both"/>
        <w:rPr>
          <w:rFonts w:ascii="Open Sans" w:hAnsi="Open Sans" w:cs="Open Sans"/>
          <w:color w:val="000000" w:themeColor="text1"/>
        </w:rPr>
      </w:pPr>
      <w:r w:rsidRPr="0053446C">
        <w:rPr>
          <w:rFonts w:ascii="Open Sans" w:hAnsi="Open Sans" w:cs="Open Sans"/>
          <w:color w:val="000000" w:themeColor="text1"/>
        </w:rPr>
        <w:t>Esta bonificación tiene carácter rogado, y  en consecuencia requiere solicitud previa por parte del sujeto pasivo.</w:t>
      </w:r>
    </w:p>
    <w:p w:rsidR="00F25CFB" w:rsidRPr="0053446C" w:rsidRDefault="00F25CFB" w:rsidP="00F25CFB">
      <w:pPr>
        <w:pStyle w:val="Prrafodelista"/>
        <w:spacing w:after="0" w:line="240" w:lineRule="auto"/>
        <w:jc w:val="both"/>
        <w:rPr>
          <w:rFonts w:ascii="Open Sans" w:hAnsi="Open Sans" w:cs="Open Sans"/>
          <w:color w:val="000000" w:themeColor="text1"/>
        </w:rPr>
      </w:pPr>
      <w:r w:rsidRPr="00315623">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315623">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ind w:left="708"/>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Tendrán derecho a una </w:t>
      </w:r>
      <w:r>
        <w:rPr>
          <w:rFonts w:ascii="Open Sans" w:hAnsi="Open Sans" w:cs="Open Sans"/>
          <w:color w:val="000000" w:themeColor="text1"/>
        </w:rPr>
        <w:t>bonificación l</w:t>
      </w:r>
      <w:r w:rsidRPr="0053446C">
        <w:rPr>
          <w:rFonts w:ascii="Open Sans" w:hAnsi="Open Sans" w:cs="Open Sans"/>
          <w:color w:val="000000" w:themeColor="text1"/>
        </w:rPr>
        <w:t xml:space="preserve">os sujetos pasivos del Impuesto, que ostenten la condición de titulares de familia numerosa, disfrutarán de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en la cuota íntegra del impuesto, cuando concurran las circunstancias siguientes:</w:t>
      </w:r>
      <w:r w:rsidRPr="0053446C">
        <w:rPr>
          <w:rStyle w:val="Refdenotaalpie"/>
          <w:rFonts w:ascii="Open Sans" w:hAnsi="Open Sans" w:cs="Open Sans"/>
          <w:color w:val="000000" w:themeColor="text1"/>
        </w:rPr>
        <w:footnoteReference w:id="18"/>
      </w:r>
    </w:p>
    <w:p w:rsidR="00F25CFB" w:rsidRPr="0053446C" w:rsidRDefault="00F25CFB" w:rsidP="00F25CFB">
      <w:pPr>
        <w:pStyle w:val="Prrafodelista"/>
        <w:numPr>
          <w:ilvl w:val="0"/>
          <w:numId w:val="1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lastRenderedPageBreak/>
        <w:t xml:space="preserve">Que el bien inmueble constituya la vivienda habitual del sujeto pasivo solicitante de la bonificación. </w:t>
      </w:r>
    </w:p>
    <w:p w:rsidR="00F25CFB" w:rsidRPr="0053446C" w:rsidRDefault="00F25CFB" w:rsidP="00F25CFB">
      <w:pPr>
        <w:pStyle w:val="Prrafodelista"/>
        <w:numPr>
          <w:ilvl w:val="0"/>
          <w:numId w:val="12"/>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Que el valor catastral del inmueble sea inferior a:</w:t>
      </w:r>
    </w:p>
    <w:p w:rsidR="00F25CFB" w:rsidRPr="0053446C" w:rsidRDefault="00F25CFB" w:rsidP="00F25CFB">
      <w:pPr>
        <w:pStyle w:val="Prrafodelista"/>
        <w:numPr>
          <w:ilvl w:val="0"/>
          <w:numId w:val="1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General: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14"/>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Especial: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spacing w:after="0" w:line="240" w:lineRule="auto"/>
        <w:ind w:firstLine="708"/>
        <w:jc w:val="both"/>
        <w:rPr>
          <w:rFonts w:ascii="Open Sans" w:hAnsi="Open Sans" w:cs="Open Sans"/>
          <w:color w:val="000000" w:themeColor="text1"/>
        </w:rPr>
      </w:pPr>
      <w:r w:rsidRPr="0053446C">
        <w:rPr>
          <w:rFonts w:ascii="Open Sans" w:hAnsi="Open Sans" w:cs="Open Sans"/>
          <w:color w:val="000000" w:themeColor="text1"/>
        </w:rPr>
        <w:t xml:space="preserve">El importe a bonificar no podrá exceder de los siguientes límites: </w:t>
      </w:r>
    </w:p>
    <w:p w:rsidR="00F25CFB" w:rsidRPr="0053446C" w:rsidRDefault="00F25CFB" w:rsidP="00F25CFB">
      <w:pPr>
        <w:pStyle w:val="Prrafodelista"/>
        <w:numPr>
          <w:ilvl w:val="0"/>
          <w:numId w:val="1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General: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pStyle w:val="Prrafodelista"/>
        <w:numPr>
          <w:ilvl w:val="0"/>
          <w:numId w:val="13"/>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Titulares de familia numerosa con Categoría Especial: </w:t>
      </w:r>
      <w:r w:rsidRPr="00414FAF">
        <w:rPr>
          <w:rFonts w:ascii="Open Sans" w:hAnsi="Open Sans" w:cs="Open Sans"/>
          <w:color w:val="000000" w:themeColor="text1"/>
          <w:highlight w:val="red"/>
        </w:rPr>
        <w:t>…</w:t>
      </w:r>
      <w:r w:rsidRPr="0053446C">
        <w:rPr>
          <w:rFonts w:ascii="Open Sans" w:hAnsi="Open Sans" w:cs="Open Sans"/>
          <w:color w:val="000000" w:themeColor="text1"/>
        </w:rPr>
        <w:t>€</w:t>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La concesión de esta </w:t>
      </w:r>
      <w:r w:rsidR="00F41F8F" w:rsidRPr="00CF224D">
        <w:rPr>
          <w:rFonts w:ascii="Open Sans" w:hAnsi="Open Sans" w:cs="Open Sans"/>
          <w:color w:val="000000" w:themeColor="text1"/>
        </w:rPr>
        <w:t>bonificación</w:t>
      </w:r>
      <w:r w:rsidRPr="0053446C">
        <w:rPr>
          <w:rFonts w:ascii="Open Sans" w:hAnsi="Open Sans" w:cs="Open Sans"/>
          <w:color w:val="000000" w:themeColor="text1"/>
        </w:rPr>
        <w:t xml:space="preserve"> requiere solicitud previa por parte del sujeto pasivo.</w:t>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En el supuesto de no figurar como titular catastral del inmueble en el Catastro Inmobiliario, será necesario aportar fotocopia del documento acreditativo de la titularidad del bien inmueble. </w:t>
      </w:r>
    </w:p>
    <w:p w:rsidR="00F25CFB" w:rsidRPr="0053446C" w:rsidRDefault="00F25CFB" w:rsidP="00F25CFB">
      <w:pPr>
        <w:pStyle w:val="Prrafodelista"/>
        <w:numPr>
          <w:ilvl w:val="0"/>
          <w:numId w:val="1"/>
        </w:numPr>
        <w:spacing w:after="0" w:line="240" w:lineRule="auto"/>
        <w:jc w:val="both"/>
        <w:rPr>
          <w:rFonts w:ascii="Open Sans" w:hAnsi="Open Sans" w:cs="Open Sans"/>
          <w:strike/>
          <w:color w:val="000000" w:themeColor="text1"/>
        </w:rPr>
      </w:pPr>
      <w:r w:rsidRPr="0053446C">
        <w:rPr>
          <w:rFonts w:ascii="Open Sans" w:hAnsi="Open Sans" w:cs="Open Sans"/>
          <w:color w:val="000000" w:themeColor="text1"/>
        </w:rPr>
        <w:t>Certificado de empadronamiento</w:t>
      </w:r>
      <w:r w:rsidRPr="0053446C">
        <w:rPr>
          <w:rFonts w:ascii="Open Sans" w:hAnsi="Open Sans" w:cs="Open Sans"/>
          <w:strike/>
          <w:color w:val="000000" w:themeColor="text1"/>
        </w:rPr>
        <w:t xml:space="preserve">. </w:t>
      </w:r>
    </w:p>
    <w:p w:rsidR="00F25CFB" w:rsidRPr="0053446C" w:rsidRDefault="00F25CFB" w:rsidP="00F25CFB">
      <w:pPr>
        <w:pStyle w:val="Prrafodelista"/>
        <w:numPr>
          <w:ilvl w:val="0"/>
          <w:numId w:val="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Certificado/ Título de Familia Numerosa. </w:t>
      </w:r>
    </w:p>
    <w:p w:rsidR="00F25CFB" w:rsidRDefault="00F25CFB" w:rsidP="00F25CFB">
      <w:pPr>
        <w:spacing w:after="0" w:line="240" w:lineRule="auto"/>
        <w:ind w:left="360"/>
        <w:jc w:val="both"/>
        <w:rPr>
          <w:rFonts w:ascii="Open Sans" w:hAnsi="Open Sans" w:cs="Open Sans"/>
          <w:color w:val="000000" w:themeColor="text1"/>
        </w:rPr>
      </w:pPr>
      <w:r w:rsidRPr="00AB47DC">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AB47DC">
        <w:rPr>
          <w:rFonts w:ascii="Open Sans" w:hAnsi="Open Sans" w:cs="Open Sans"/>
          <w:color w:val="000000" w:themeColor="text1"/>
        </w:rPr>
        <w:t xml:space="preserve"> del periodo impositivo, surtiendo efecto para este último, siempre que a la fecha del devengo del tributo concurran los requisitos exigidos para su disfrute.</w:t>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Esta bonificación tendrá la misma duración que el período de validez del título de familia numerosa vigente en el momento de la solicitud.</w:t>
      </w:r>
      <w:r w:rsidRPr="0053446C">
        <w:rPr>
          <w:rStyle w:val="Refdenotaalpie"/>
          <w:rFonts w:ascii="Open Sans" w:hAnsi="Open Sans" w:cs="Open Sans"/>
          <w:color w:val="000000" w:themeColor="text1"/>
        </w:rPr>
        <w:footnoteReference w:id="19"/>
      </w: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En los supuestos de renovación del título de familia numerosa, para la no interrupción del beneficio fiscal, deberá presentarse nueva solicitud de la bonificación antes del 31 de diciembre del ejercicio en el que se produce la renovación, excepto para las renovaciones que deban realizarse en el mes de diciembre, en cuyo caso, el plazo de solicitud será hasta el </w:t>
      </w:r>
      <w:r>
        <w:rPr>
          <w:rFonts w:ascii="Open Sans" w:hAnsi="Open Sans" w:cs="Open Sans"/>
          <w:color w:val="000000" w:themeColor="text1"/>
        </w:rPr>
        <w:t>1 de marzo</w:t>
      </w:r>
      <w:r w:rsidRPr="0053446C">
        <w:rPr>
          <w:rFonts w:ascii="Open Sans" w:hAnsi="Open Sans" w:cs="Open Sans"/>
          <w:color w:val="000000" w:themeColor="text1"/>
        </w:rPr>
        <w:t xml:space="preserve"> del ejercicio siguiente al que se produjo la renovación del título.</w:t>
      </w:r>
    </w:p>
    <w:p w:rsidR="00F25CFB" w:rsidRPr="0053446C" w:rsidRDefault="00F25CFB" w:rsidP="00F25CFB">
      <w:pPr>
        <w:spacing w:after="0" w:line="240" w:lineRule="auto"/>
        <w:ind w:left="360"/>
        <w:jc w:val="both"/>
        <w:rPr>
          <w:rFonts w:ascii="Open Sans" w:hAnsi="Open Sans" w:cs="Open Sans"/>
          <w:color w:val="000000" w:themeColor="text1"/>
          <w:highlight w:val="lightGray"/>
        </w:rPr>
      </w:pPr>
      <w:r w:rsidRPr="0053446C">
        <w:rPr>
          <w:rFonts w:ascii="Open Sans" w:hAnsi="Open Sans" w:cs="Open Sans"/>
          <w:color w:val="000000" w:themeColor="text1"/>
        </w:rPr>
        <w:t>La bonificación se extinguirá de oficio el año inmediatamente siguiente a aquel en el que el sujeto pasivo cese en su condición de titular de familia numerosa o deje de concurrir alguno de los referidos requisitos.</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pStyle w:val="Prrafodelista"/>
        <w:numPr>
          <w:ilvl w:val="0"/>
          <w:numId w:val="15"/>
        </w:num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 xml:space="preserve">Tendrán derecho a una bonificación del </w:t>
      </w:r>
      <w:r w:rsidRPr="00414FAF">
        <w:rPr>
          <w:rFonts w:ascii="Open Sans" w:hAnsi="Open Sans" w:cs="Open Sans"/>
          <w:color w:val="000000" w:themeColor="text1"/>
          <w:highlight w:val="red"/>
        </w:rPr>
        <w:t>…</w:t>
      </w:r>
      <w:r w:rsidRPr="0053446C">
        <w:rPr>
          <w:rFonts w:ascii="Open Sans" w:hAnsi="Open Sans" w:cs="Open Sans"/>
          <w:color w:val="000000" w:themeColor="text1"/>
        </w:rPr>
        <w:t>% en la cuota íntegra del impuesto los inmuebles en los que se hayan instalado sistemas para la producción y autoconsumo de energía solar fotovoltaica aisladas, con y sin acumulación, así como las contempladas en el artículo 9 “Autoconsumo de energía eléctrica” de la Ley 24/2013, de 26 de diciembre, del Sector Eléctrico.</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Es requisito indispensable que las instalaciones para producción de calor incluyan colectores que dispongan de la correspondiente homologación por la Administración competente.</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lastRenderedPageBreak/>
        <w:t>No se concederá la bonificación cuando la instalación de los sistemas de aprovechamiento térmico o eléctrico sea obligatoria de acuerdo con la normativa específica en la materia.</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 xml:space="preserve">La concesión de esta </w:t>
      </w:r>
      <w:r>
        <w:rPr>
          <w:rFonts w:ascii="Open Sans" w:hAnsi="Open Sans" w:cs="Open Sans"/>
          <w:color w:val="000000" w:themeColor="text1"/>
        </w:rPr>
        <w:t>bonificación</w:t>
      </w:r>
      <w:r w:rsidRPr="0053446C">
        <w:rPr>
          <w:rFonts w:ascii="Open Sans" w:hAnsi="Open Sans" w:cs="Open Sans"/>
          <w:color w:val="000000" w:themeColor="text1"/>
        </w:rPr>
        <w:t xml:space="preserve"> requiere solicitud previa por parte del sujeto pasivo.</w:t>
      </w:r>
    </w:p>
    <w:p w:rsidR="00F25CFB" w:rsidRPr="0053446C" w:rsidRDefault="00F25CFB" w:rsidP="00F25CFB">
      <w:pPr>
        <w:spacing w:after="0" w:line="240" w:lineRule="auto"/>
        <w:ind w:left="426"/>
        <w:jc w:val="both"/>
        <w:rPr>
          <w:rFonts w:ascii="Open Sans" w:hAnsi="Open Sans" w:cs="Open Sans"/>
          <w:color w:val="000000" w:themeColor="text1"/>
        </w:rPr>
      </w:pPr>
      <w:r w:rsidRPr="0053446C">
        <w:rPr>
          <w:rFonts w:ascii="Open Sans" w:hAnsi="Open Sans" w:cs="Open Sans"/>
          <w:color w:val="000000" w:themeColor="text1"/>
        </w:rPr>
        <w:t xml:space="preserve">Junto a la solicitud de esta bonificación deberá aportarse la siguiente documentación acreditativa: </w:t>
      </w:r>
    </w:p>
    <w:p w:rsidR="00F25CFB" w:rsidRPr="0053446C" w:rsidRDefault="00F25CFB" w:rsidP="00F25CFB">
      <w:pPr>
        <w:pStyle w:val="Prrafodelista"/>
        <w:numPr>
          <w:ilvl w:val="0"/>
          <w:numId w:val="1"/>
        </w:num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Certificado de la instalación, que avale su inscripción en el registro de las instalaciones fotovoltaicas de Dirección General de Industria Energía y Minas de la Junta de Extremadura, de acuerdo con lo establecido en el Real Decreto 842/2002, de 2 de agosto, por el que se aprueba el Reglamento electrotécnico para baja tensión. </w:t>
      </w:r>
    </w:p>
    <w:p w:rsidR="00F25CFB" w:rsidRDefault="00F25CFB" w:rsidP="00F25CFB">
      <w:pPr>
        <w:spacing w:after="0" w:line="240" w:lineRule="auto"/>
        <w:ind w:left="360"/>
        <w:jc w:val="both"/>
        <w:rPr>
          <w:rFonts w:ascii="Open Sans" w:hAnsi="Open Sans" w:cs="Open Sans"/>
          <w:color w:val="000000" w:themeColor="text1"/>
        </w:rPr>
      </w:pPr>
      <w:r w:rsidRPr="00AB47DC">
        <w:rPr>
          <w:rFonts w:ascii="Open Sans" w:hAnsi="Open Sans" w:cs="Open Sans"/>
          <w:color w:val="000000" w:themeColor="text1"/>
        </w:rPr>
        <w:t xml:space="preserve">El plazo de solicitud de esta bonificación será el comprendido entre 1 de octubre del ejercicio anterior al periodo impositivo y el </w:t>
      </w:r>
      <w:r>
        <w:rPr>
          <w:rFonts w:ascii="Open Sans" w:hAnsi="Open Sans" w:cs="Open Sans"/>
          <w:color w:val="000000" w:themeColor="text1"/>
        </w:rPr>
        <w:t>1 de marzo</w:t>
      </w:r>
      <w:r w:rsidRPr="00AB47DC">
        <w:rPr>
          <w:rFonts w:ascii="Open Sans" w:hAnsi="Open Sans" w:cs="Open Sans"/>
          <w:color w:val="000000" w:themeColor="text1"/>
        </w:rPr>
        <w:t xml:space="preserve"> del periodo imp</w:t>
      </w:r>
      <w:r>
        <w:rPr>
          <w:rFonts w:ascii="Open Sans" w:hAnsi="Open Sans" w:cs="Open Sans"/>
          <w:color w:val="000000" w:themeColor="text1"/>
        </w:rPr>
        <w:t>ositivo, surtiendo efecto para é</w:t>
      </w:r>
      <w:r w:rsidRPr="00AB47DC">
        <w:rPr>
          <w:rFonts w:ascii="Open Sans" w:hAnsi="Open Sans" w:cs="Open Sans"/>
          <w:color w:val="000000" w:themeColor="text1"/>
        </w:rPr>
        <w:t>ste último, siempre que a la fecha del devengo del tributo concurran los requisitos exigidos para su disfrute.</w:t>
      </w:r>
    </w:p>
    <w:p w:rsidR="00F25CFB" w:rsidRPr="00AB47DC" w:rsidRDefault="00F25CFB" w:rsidP="00F25CFB">
      <w:pPr>
        <w:spacing w:after="0" w:line="240" w:lineRule="auto"/>
        <w:ind w:left="360"/>
        <w:jc w:val="both"/>
        <w:rPr>
          <w:rFonts w:ascii="Open Sans" w:hAnsi="Open Sans" w:cs="Open Sans"/>
          <w:color w:val="000000" w:themeColor="text1"/>
        </w:rPr>
      </w:pPr>
    </w:p>
    <w:p w:rsidR="00F25CFB" w:rsidRPr="0053446C" w:rsidRDefault="00F25CFB" w:rsidP="00F25CFB">
      <w:pPr>
        <w:spacing w:after="0" w:line="240" w:lineRule="auto"/>
        <w:ind w:left="360"/>
        <w:jc w:val="both"/>
        <w:rPr>
          <w:rFonts w:ascii="Open Sans" w:hAnsi="Open Sans" w:cs="Open Sans"/>
          <w:color w:val="000000" w:themeColor="text1"/>
        </w:rPr>
      </w:pPr>
      <w:r w:rsidRPr="0053446C">
        <w:rPr>
          <w:rFonts w:ascii="Open Sans" w:hAnsi="Open Sans" w:cs="Open Sans"/>
          <w:color w:val="000000" w:themeColor="text1"/>
        </w:rPr>
        <w:t xml:space="preserve">Esta bonificación tendrá una duración de </w:t>
      </w:r>
      <w:r w:rsidRPr="00414FAF">
        <w:rPr>
          <w:rFonts w:ascii="Open Sans" w:hAnsi="Open Sans" w:cs="Open Sans"/>
          <w:color w:val="000000" w:themeColor="text1"/>
          <w:highlight w:val="red"/>
        </w:rPr>
        <w:t>…</w:t>
      </w:r>
      <w:r w:rsidRPr="0053446C">
        <w:rPr>
          <w:rFonts w:ascii="Open Sans" w:hAnsi="Open Sans" w:cs="Open Sans"/>
          <w:color w:val="000000" w:themeColor="text1"/>
        </w:rPr>
        <w:t xml:space="preserve"> periodos impositivos a contar desde el periodo impositivo siguiente al de su </w:t>
      </w:r>
      <w:r>
        <w:rPr>
          <w:rFonts w:ascii="Open Sans" w:hAnsi="Open Sans" w:cs="Open Sans"/>
          <w:color w:val="000000" w:themeColor="text1"/>
        </w:rPr>
        <w:t>concesión.</w:t>
      </w:r>
      <w:r w:rsidRPr="0053446C">
        <w:rPr>
          <w:rStyle w:val="Refdenotaalpie"/>
          <w:rFonts w:ascii="Open Sans" w:hAnsi="Open Sans" w:cs="Open Sans"/>
          <w:color w:val="000000" w:themeColor="text1"/>
        </w:rPr>
        <w:footnoteReference w:id="20"/>
      </w:r>
    </w:p>
    <w:p w:rsidR="00F25CFB" w:rsidRPr="0053446C" w:rsidRDefault="00F25CFB" w:rsidP="00F25CFB">
      <w:pPr>
        <w:spacing w:after="0" w:line="240" w:lineRule="auto"/>
        <w:ind w:left="-76"/>
        <w:jc w:val="both"/>
        <w:rPr>
          <w:rFonts w:ascii="Open Sans" w:hAnsi="Open Sans" w:cs="Open Sans"/>
          <w:color w:val="000000" w:themeColor="text1"/>
          <w:shd w:val="clear" w:color="auto" w:fill="FFFFFF"/>
        </w:rPr>
      </w:pPr>
      <w:r w:rsidRPr="00414FAF">
        <w:rPr>
          <w:rStyle w:val="Refdenotaalpie"/>
          <w:rFonts w:ascii="Open Sans" w:hAnsi="Open Sans" w:cs="Open Sans"/>
          <w:color w:val="000000" w:themeColor="text1"/>
        </w:rPr>
        <w:footnoteReference w:id="21"/>
      </w:r>
    </w:p>
    <w:p w:rsidR="00F25CFB" w:rsidRPr="0053446C" w:rsidRDefault="00F25CFB" w:rsidP="00F25CFB">
      <w:pPr>
        <w:spacing w:after="0" w:line="240" w:lineRule="auto"/>
        <w:jc w:val="both"/>
        <w:rPr>
          <w:rFonts w:ascii="Open Sans" w:hAnsi="Open Sans" w:cs="Open Sans"/>
          <w:color w:val="000000" w:themeColor="text1"/>
          <w:highlight w:val="lightGray"/>
        </w:rPr>
      </w:pPr>
      <w:r w:rsidRPr="0053446C">
        <w:rPr>
          <w:rFonts w:ascii="Open Sans" w:hAnsi="Open Sans" w:cs="Open Sans"/>
          <w:color w:val="000000" w:themeColor="text1"/>
        </w:rPr>
        <w:t>2. Las bonificaciones reguladas en los apartados anteriores de este artículo son compatibles entre sí cuando así lo permita la naturaleza de la bonificación y del bien inmueble correspondiente; y se aplicarán, en su caso, por el orden en el que las mismas aparecen relacionadas en los apartados citados, minorándose sucesivamente sobre la cuota íntegra del Impuesto.</w:t>
      </w:r>
    </w:p>
    <w:p w:rsidR="00F25CFB" w:rsidRPr="0053446C" w:rsidRDefault="00F25CFB" w:rsidP="00F25CFB">
      <w:pPr>
        <w:spacing w:after="0" w:line="240" w:lineRule="auto"/>
        <w:jc w:val="both"/>
        <w:rPr>
          <w:rFonts w:ascii="Open Sans" w:hAnsi="Open Sans" w:cs="Open Sans"/>
          <w:color w:val="000000" w:themeColor="text1"/>
          <w:u w:val="single"/>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11. PERIODO IMPOSITIVO Y DEVENGO.</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El impuesto se devengará el primer día del período impositivo.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2. El período impositivo coincide con el año natural.</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3. Las variaciones de orden físico, económico o jurídico, incluyendo las modificaciones de la titularidad de los bienes inmuebles, tendrán efectividad en el periodo impositivo siguiente a aquel en que se produzcan dichas variaciones, con independencia del momento en el que se notifiquen.</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12. GESTIÓN Y PAGO DEL IMPUESTO.</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Las alteraciones concernientes a los bienes inmuebles susceptibles de inscripción catastral que tengan trascendencia a efectos de este Impuesto determinarán la obligación de los sujetos pasivos de formalizar las declaraciones conducentes a su inscripción en el Catastro Inmobiliario, conforme a lo establecido en sus normas reguladoras.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No obstante, al encontrarse este municipio acogido al régimen de comunicación catastral previsto en el artículo 14 del Real Decreto 1/2004, de 5 de marzo, el sujeto pasivo quedará exento de la obligación de declarar cuando las circunstancias o alteraciones a que se refieren consten en la correspondiente licencia o autorización municipal.</w:t>
      </w:r>
    </w:p>
    <w:p w:rsidR="00F25CFB" w:rsidRPr="0053446C" w:rsidRDefault="00F25CFB" w:rsidP="00F25CFB">
      <w:pPr>
        <w:spacing w:after="0" w:line="240" w:lineRule="auto"/>
        <w:jc w:val="both"/>
        <w:rPr>
          <w:rFonts w:ascii="Open Sans" w:eastAsia="Times New Roman" w:hAnsi="Open Sans" w:cs="Open Sans"/>
          <w:color w:val="000000" w:themeColor="text1"/>
          <w:lang w:eastAsia="es-ES"/>
        </w:rPr>
      </w:pPr>
      <w:r w:rsidRPr="0053446C">
        <w:rPr>
          <w:rFonts w:ascii="Open Sans" w:hAnsi="Open Sans" w:cs="Open Sans"/>
          <w:color w:val="000000" w:themeColor="text1"/>
        </w:rPr>
        <w:t>Igualmente, quedarán exentos de la obligación de declarar las citadas alteraciones cuando c</w:t>
      </w:r>
      <w:r w:rsidRPr="0053446C">
        <w:rPr>
          <w:rFonts w:ascii="Open Sans" w:eastAsia="Times New Roman" w:hAnsi="Open Sans" w:cs="Open Sans"/>
          <w:color w:val="000000" w:themeColor="text1"/>
          <w:lang w:eastAsia="es-ES"/>
        </w:rPr>
        <w:t>on anterioridad a la finalización del plazo máximo para cumplir con dicha obligación, las mismas hayan sido comunicadas de acuerdo con lo previsto en los apartados f) y g) del artículo 14 del Real Decreto 1/2004, de 5 de marzo, en cuyo caso la Dirección General del Catastro advertirá de esta circunstancia en el correspondiente acuerdo de alteración.</w:t>
      </w:r>
    </w:p>
    <w:p w:rsidR="00F25CFB" w:rsidRPr="0053446C" w:rsidRDefault="00F25CFB" w:rsidP="00F25CFB">
      <w:pPr>
        <w:spacing w:after="0" w:line="240" w:lineRule="auto"/>
        <w:jc w:val="both"/>
        <w:rPr>
          <w:rFonts w:ascii="Open Sans" w:hAnsi="Open Sans" w:cs="Open Sans"/>
          <w:color w:val="000000" w:themeColor="text1"/>
        </w:rPr>
      </w:pPr>
    </w:p>
    <w:p w:rsidR="00F25CFB" w:rsidRPr="00E649A9" w:rsidRDefault="00F25CFB" w:rsidP="00F25CFB">
      <w:pPr>
        <w:spacing w:after="0"/>
        <w:jc w:val="both"/>
        <w:rPr>
          <w:rFonts w:ascii="Open Sans" w:eastAsiaTheme="minorEastAsia" w:hAnsi="Open Sans" w:cs="Open Sans"/>
          <w:color w:val="000000"/>
          <w:lang w:eastAsia="es-ES"/>
        </w:rPr>
      </w:pPr>
      <w:r w:rsidRPr="0053446C">
        <w:rPr>
          <w:rFonts w:ascii="Open Sans" w:hAnsi="Open Sans" w:cs="Open Sans"/>
          <w:color w:val="000000" w:themeColor="text1"/>
        </w:rPr>
        <w:t xml:space="preserve">2. </w:t>
      </w:r>
      <w:r w:rsidRPr="00E649A9">
        <w:rPr>
          <w:rFonts w:ascii="Open Sans" w:eastAsiaTheme="minorEastAsia" w:hAnsi="Open Sans" w:cs="Open Sans"/>
          <w:color w:val="000000"/>
          <w:lang w:eastAsia="es-ES"/>
        </w:rPr>
        <w:t xml:space="preserve">La gestión, liquidación, recaudación e inspección del impuesto se llevará a cabo por el </w:t>
      </w:r>
      <w:r>
        <w:rPr>
          <w:rFonts w:ascii="Open Sans" w:eastAsiaTheme="minorEastAsia" w:hAnsi="Open Sans" w:cs="Open Sans"/>
          <w:color w:val="000000"/>
          <w:lang w:eastAsia="es-ES"/>
        </w:rPr>
        <w:t xml:space="preserve">Organismo Autónomo de Recaudación de la Diputación de Badajoz, en virtud del </w:t>
      </w:r>
      <w:r w:rsidRPr="00E649A9">
        <w:rPr>
          <w:rFonts w:ascii="Open Sans" w:eastAsiaTheme="minorEastAsia" w:hAnsi="Open Sans" w:cs="Open Sans"/>
          <w:color w:val="000000"/>
          <w:lang w:eastAsia="es-ES"/>
        </w:rPr>
        <w:t xml:space="preserve">acuerdo de delegación de competencias </w:t>
      </w:r>
      <w:r>
        <w:rPr>
          <w:rFonts w:ascii="Open Sans" w:eastAsiaTheme="minorEastAsia" w:hAnsi="Open Sans" w:cs="Open Sans"/>
          <w:color w:val="000000"/>
          <w:lang w:eastAsia="es-ES"/>
        </w:rPr>
        <w:t xml:space="preserve">publicado en el BOP de fecha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 xml:space="preserve"> de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 xml:space="preserve"> de </w:t>
      </w:r>
      <w:r w:rsidRPr="00E649A9">
        <w:rPr>
          <w:rFonts w:ascii="Open Sans" w:eastAsia="Times New Roman" w:hAnsi="Open Sans" w:cs="Open Sans"/>
          <w:highlight w:val="red"/>
          <w:lang w:eastAsia="es-ES"/>
        </w:rPr>
        <w:t>...</w:t>
      </w:r>
      <w:r w:rsidRPr="00E649A9">
        <w:rPr>
          <w:rFonts w:ascii="Open Sans" w:eastAsia="Times New Roman" w:hAnsi="Open Sans" w:cs="Open Sans"/>
          <w:lang w:eastAsia="es-ES"/>
        </w:rPr>
        <w:t>,</w:t>
      </w:r>
      <w:r w:rsidRPr="00E649A9">
        <w:rPr>
          <w:rFonts w:ascii="Open Sans" w:eastAsia="Times New Roman" w:hAnsi="Open Sans" w:cs="Open Sans"/>
          <w:vertAlign w:val="superscript"/>
          <w:lang w:eastAsia="es-ES"/>
        </w:rPr>
        <w:footnoteReference w:id="22"/>
      </w:r>
      <w:r w:rsidRPr="00E649A9">
        <w:rPr>
          <w:rFonts w:ascii="Open Sans" w:eastAsiaTheme="minorEastAsia" w:hAnsi="Open Sans" w:cs="Open Sans"/>
          <w:color w:val="000000"/>
          <w:lang w:eastAsia="es-ES"/>
        </w:rPr>
        <w:t>conforme a lo establecido los artículos 106.3 de la Ley 7/1985, de 2 de abril, Reguladora de las Bases del Régimen Local y en los artículos 7</w:t>
      </w:r>
      <w:r>
        <w:rPr>
          <w:rFonts w:ascii="Open Sans" w:eastAsiaTheme="minorEastAsia" w:hAnsi="Open Sans" w:cs="Open Sans"/>
          <w:color w:val="000000"/>
          <w:lang w:eastAsia="es-ES"/>
        </w:rPr>
        <w:t>.1 y</w:t>
      </w:r>
      <w:r w:rsidRPr="00E649A9">
        <w:rPr>
          <w:rFonts w:ascii="Open Sans" w:eastAsiaTheme="minorEastAsia" w:hAnsi="Open Sans" w:cs="Open Sans"/>
          <w:color w:val="000000"/>
          <w:lang w:eastAsia="es-ES"/>
        </w:rPr>
        <w:t xml:space="preserve"> 8</w:t>
      </w:r>
      <w:r>
        <w:rPr>
          <w:rFonts w:ascii="Open Sans" w:eastAsiaTheme="minorEastAsia" w:hAnsi="Open Sans" w:cs="Open Sans"/>
          <w:color w:val="000000"/>
          <w:lang w:eastAsia="es-ES"/>
        </w:rPr>
        <w:t>.4</w:t>
      </w:r>
      <w:r w:rsidRPr="00E649A9">
        <w:rPr>
          <w:rFonts w:ascii="Open Sans" w:eastAsiaTheme="minorEastAsia" w:hAnsi="Open Sans" w:cs="Open Sans"/>
          <w:color w:val="000000"/>
          <w:lang w:eastAsia="es-ES"/>
        </w:rPr>
        <w:t xml:space="preserve"> del Real Decreto Legislativo 2/2004, de 5 de marzo, por el que se aprueba el texto refundido de la Ley Reguladora de las Haciendas Locales.</w:t>
      </w:r>
    </w:p>
    <w:p w:rsidR="00F25CFB" w:rsidRPr="0053446C" w:rsidRDefault="00F25CFB" w:rsidP="00F25CFB">
      <w:pPr>
        <w:spacing w:after="0" w:line="240" w:lineRule="auto"/>
        <w:jc w:val="both"/>
        <w:rPr>
          <w:rFonts w:ascii="Open Sans" w:hAnsi="Open Sans" w:cs="Open Sans"/>
          <w:strike/>
          <w:color w:val="000000" w:themeColor="text1"/>
        </w:rPr>
      </w:pPr>
    </w:p>
    <w:p w:rsidR="00F25CFB" w:rsidRPr="0053446C" w:rsidRDefault="00F25CFB" w:rsidP="00F25CFB">
      <w:pPr>
        <w:spacing w:after="0"/>
        <w:jc w:val="both"/>
        <w:rPr>
          <w:rFonts w:ascii="Open Sans" w:eastAsiaTheme="minorEastAsia" w:hAnsi="Open Sans" w:cs="Open Sans"/>
          <w:color w:val="000000" w:themeColor="text1"/>
          <w:lang w:eastAsia="es-ES"/>
        </w:rPr>
      </w:pPr>
      <w:r w:rsidRPr="0053446C">
        <w:rPr>
          <w:rFonts w:ascii="Open Sans" w:hAnsi="Open Sans" w:cs="Open Sans"/>
          <w:color w:val="000000" w:themeColor="text1"/>
        </w:rPr>
        <w:t xml:space="preserve">3. </w:t>
      </w:r>
      <w:r w:rsidRPr="0053446C">
        <w:rPr>
          <w:rFonts w:ascii="Open Sans" w:eastAsiaTheme="minorEastAsia" w:hAnsi="Open Sans" w:cs="Open Sans"/>
          <w:color w:val="000000" w:themeColor="text1"/>
          <w:lang w:eastAsia="es-ES"/>
        </w:rPr>
        <w:t>El padrón del impuesto se expondrá al público por un plazo de un mes a partir del primer día del período de pago, para que los interesados legítimos puedan examinarlo, y en su caso, formular las reclamaciones oportunas. La exposición al público del padrón se anunciará en el Boletín Oficial de la Provincia y producirá los efectos de notificación de la liquidación a cada uno de los sujetos pasivos.</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4. El plazo de ingreso de las deudas de cobro por recibo notificadas colectivamente se determinará cada año y se anunciará públicamente en el Boletín Oficial de la Provincia y el tablón de anuncios del Ayuntamiento u órgano gestor. El plazo del pago del resto de liquidaciones se ajustará a los </w:t>
      </w:r>
      <w:r w:rsidRPr="0053446C">
        <w:rPr>
          <w:rFonts w:ascii="Open Sans" w:hAnsi="Open Sans" w:cs="Open Sans"/>
          <w:color w:val="000000" w:themeColor="text1"/>
        </w:rPr>
        <w:lastRenderedPageBreak/>
        <w:t>plazos establecidos por la Ley 58/2003, de 17 de diciembre, General Tributaria.</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5. De acuerdo con el artículo 72.8 de la Ordenanza fiscal general de gestión, liquidación, inspección y recaudación de los ingresos de derecho público de la Diputación Provincial de Badajoz, los interesados que domicilien el pago del impuesto relativo a los inmuebles de naturaleza urbana, podrán beneficiarse del PLAN4, consistente en el fraccionamiento de la deuda sin intereses en cuatro plazos.</w:t>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eastAsia="Open Sans" w:hAnsi="Open Sans" w:cs="Open Sans"/>
          <w:color w:val="000000" w:themeColor="text1"/>
        </w:rPr>
        <w:t>6. S</w:t>
      </w:r>
      <w:r w:rsidRPr="0053446C">
        <w:rPr>
          <w:rFonts w:ascii="Open Sans" w:hAnsi="Open Sans" w:cs="Open Sans"/>
          <w:color w:val="000000" w:themeColor="text1"/>
        </w:rPr>
        <w:t>e agrupará en un único documento de cobro todas las cuotas de este impuesto relativas a un mismo sujeto pasivo cuando se trate de bienes rústicos sitos en este municipio.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7. Cuando un bien inmueble, o derecho sobre éste, pertenezca a dos o más titulares, se podrá solicitar la división de la cuota tributaria en proporción a la participación en el dominio o derecho de cada titular catastral. En caso de no constar en el Catastro Inmobiliario las proporciones en que cada uno participa en el dominio o derecho sobre el inmue</w:t>
      </w:r>
      <w:r>
        <w:rPr>
          <w:rFonts w:ascii="Open Sans" w:hAnsi="Open Sans" w:cs="Open Sans"/>
          <w:color w:val="000000" w:themeColor="text1"/>
        </w:rPr>
        <w:t>ble, el interesado deberá aportar</w:t>
      </w:r>
      <w:r w:rsidRPr="0053446C">
        <w:rPr>
          <w:rFonts w:ascii="Open Sans" w:hAnsi="Open Sans" w:cs="Open Sans"/>
          <w:color w:val="000000" w:themeColor="text1"/>
        </w:rPr>
        <w:t xml:space="preserve"> con carácter previo a la solicitud de división de cuota, la documentación acreditativa de la titularidad compartida. </w:t>
      </w:r>
    </w:p>
    <w:p w:rsidR="00F25CFB" w:rsidRPr="00403304" w:rsidRDefault="00F25CFB" w:rsidP="00F25CFB">
      <w:pPr>
        <w:spacing w:after="0" w:line="240" w:lineRule="auto"/>
        <w:jc w:val="both"/>
        <w:rPr>
          <w:rFonts w:ascii="Open Sans" w:hAnsi="Open Sans" w:cs="Open Sans"/>
          <w:color w:val="FF0000"/>
        </w:rPr>
      </w:pPr>
      <w:r w:rsidRPr="0053446C">
        <w:rPr>
          <w:rFonts w:ascii="Open Sans" w:hAnsi="Open Sans" w:cs="Open Sans"/>
          <w:color w:val="000000" w:themeColor="text1"/>
        </w:rPr>
        <w:t xml:space="preserve">Cuando el sujeto pasivo sea la sociedad de gananciales, en todo caso, se practicará una sola liquidación, </w:t>
      </w:r>
      <w:r>
        <w:rPr>
          <w:rFonts w:ascii="Open Sans" w:hAnsi="Open Sans" w:cs="Open Sans"/>
          <w:color w:val="000000" w:themeColor="text1"/>
        </w:rPr>
        <w:t xml:space="preserve">de acuerdo con lo previsto en el artículo 37 de la </w:t>
      </w:r>
      <w:r w:rsidRPr="0053446C">
        <w:rPr>
          <w:rFonts w:ascii="Open Sans" w:hAnsi="Open Sans" w:cs="Open Sans"/>
          <w:color w:val="000000" w:themeColor="text1"/>
        </w:rPr>
        <w:t>Ordenanza fiscal general de gestión, liquidación, inspección y recaudación de los ingresos de derecho público de la Diputación Provincial de Badajoz.</w:t>
      </w:r>
    </w:p>
    <w:p w:rsidR="00F25CFB" w:rsidRPr="00403304" w:rsidRDefault="00F25CFB" w:rsidP="00F25CFB">
      <w:pPr>
        <w:spacing w:after="0" w:line="240" w:lineRule="auto"/>
        <w:jc w:val="both"/>
        <w:rPr>
          <w:rFonts w:ascii="Open Sans" w:hAnsi="Open Sans" w:cs="Open Sans"/>
          <w:color w:val="FF0000"/>
        </w:rPr>
      </w:pPr>
      <w:r w:rsidRPr="0053446C">
        <w:rPr>
          <w:rFonts w:ascii="Open Sans" w:hAnsi="Open Sans" w:cs="Open Sans"/>
          <w:color w:val="000000" w:themeColor="text1"/>
        </w:rPr>
        <w:t xml:space="preserve">No se podrá dividir la cuota en aquellos supuestos que, como consecuencia de dicha división resulten cuotas de importe inferior a los mínimos establecidos en </w:t>
      </w:r>
      <w:r>
        <w:rPr>
          <w:rFonts w:ascii="Open Sans" w:hAnsi="Open Sans" w:cs="Open Sans"/>
          <w:color w:val="000000" w:themeColor="text1"/>
        </w:rPr>
        <w:t xml:space="preserve">el artículo 37 de la </w:t>
      </w:r>
      <w:r w:rsidRPr="0053446C">
        <w:rPr>
          <w:rFonts w:ascii="Open Sans" w:hAnsi="Open Sans" w:cs="Open Sans"/>
          <w:color w:val="000000" w:themeColor="text1"/>
        </w:rPr>
        <w:t>Ordenanza fiscal general de gestión, liquidación, inspección y recaudación de los ingresos de derecho público de la Diputación Provincial de Badajoz.</w:t>
      </w:r>
    </w:p>
    <w:p w:rsidR="00F25CFB" w:rsidRPr="0053446C" w:rsidRDefault="00F25CFB" w:rsidP="00F25CFB">
      <w:pPr>
        <w:spacing w:after="0" w:line="240" w:lineRule="auto"/>
        <w:jc w:val="both"/>
        <w:rPr>
          <w:rFonts w:ascii="Open Sans" w:hAnsi="Open Sans" w:cs="Open Sans"/>
          <w:color w:val="000000" w:themeColor="text1"/>
        </w:rPr>
      </w:pPr>
      <w:r w:rsidRPr="00AB47DC">
        <w:rPr>
          <w:rFonts w:ascii="Open Sans" w:hAnsi="Open Sans" w:cs="Open Sans"/>
          <w:color w:val="000000" w:themeColor="text1"/>
        </w:rPr>
        <w:t xml:space="preserve">El plazo de solicitud </w:t>
      </w:r>
      <w:r>
        <w:rPr>
          <w:rFonts w:ascii="Open Sans" w:hAnsi="Open Sans" w:cs="Open Sans"/>
          <w:color w:val="000000" w:themeColor="text1"/>
        </w:rPr>
        <w:t>de división de la cuota</w:t>
      </w:r>
      <w:r w:rsidRPr="00AB47DC">
        <w:rPr>
          <w:rFonts w:ascii="Open Sans" w:hAnsi="Open Sans" w:cs="Open Sans"/>
          <w:color w:val="000000" w:themeColor="text1"/>
        </w:rPr>
        <w:t xml:space="preserve"> será el comprendido entre 1 de octubre del ejercicio anterior al periodo impositivo y el </w:t>
      </w:r>
      <w:r>
        <w:rPr>
          <w:rFonts w:ascii="Open Sans" w:hAnsi="Open Sans" w:cs="Open Sans"/>
          <w:color w:val="000000" w:themeColor="text1"/>
        </w:rPr>
        <w:t>1 de marzo</w:t>
      </w:r>
      <w:r w:rsidRPr="00AB47DC">
        <w:rPr>
          <w:rFonts w:ascii="Open Sans" w:hAnsi="Open Sans" w:cs="Open Sans"/>
          <w:color w:val="000000" w:themeColor="text1"/>
        </w:rPr>
        <w:t xml:space="preserve"> del periodo impositivo, su</w:t>
      </w:r>
      <w:r>
        <w:rPr>
          <w:rFonts w:ascii="Open Sans" w:hAnsi="Open Sans" w:cs="Open Sans"/>
          <w:color w:val="000000" w:themeColor="text1"/>
        </w:rPr>
        <w:t>rtiendo efecto para este último.</w:t>
      </w:r>
    </w:p>
    <w:p w:rsidR="00F25CFB" w:rsidRPr="006A0793"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Si algunas de las cuotas resulta impagada se exigirá el pago de la deuda a cualquiera de los responsables solidarios, de conformidad a lo establecido en la Ley General Tributaria en los supuestos de concurr</w:t>
      </w:r>
      <w:r>
        <w:rPr>
          <w:rFonts w:ascii="Open Sans" w:hAnsi="Open Sans" w:cs="Open Sans"/>
          <w:color w:val="000000" w:themeColor="text1"/>
        </w:rPr>
        <w:t>encia de obligados tributarios.</w:t>
      </w:r>
    </w:p>
    <w:p w:rsidR="00F25CFB"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line="240" w:lineRule="auto"/>
        <w:jc w:val="both"/>
        <w:rPr>
          <w:rFonts w:ascii="Open Sans" w:hAnsi="Open Sans" w:cs="Open Sans"/>
          <w:b/>
          <w:color w:val="000000" w:themeColor="text1"/>
        </w:rPr>
      </w:pPr>
      <w:r w:rsidRPr="0053446C">
        <w:rPr>
          <w:rFonts w:ascii="Open Sans" w:hAnsi="Open Sans" w:cs="Open Sans"/>
          <w:b/>
          <w:color w:val="000000" w:themeColor="text1"/>
        </w:rPr>
        <w:t>Artículo 13. REVISIÓN</w:t>
      </w:r>
      <w:r w:rsidRPr="0053446C">
        <w:rPr>
          <w:rFonts w:ascii="Open Sans" w:eastAsiaTheme="minorEastAsia" w:hAnsi="Open Sans" w:cs="Open Sans"/>
          <w:b/>
          <w:color w:val="000000" w:themeColor="text1"/>
          <w:lang w:eastAsia="es-ES"/>
        </w:rPr>
        <w:t xml:space="preserve"> DE LOS ACTOS ADMINISTRATIVOS</w:t>
      </w:r>
      <w:r w:rsidRPr="0053446C">
        <w:rPr>
          <w:rFonts w:ascii="Open Sans" w:hAnsi="Open Sans" w:cs="Open Sans"/>
          <w:b/>
          <w:color w:val="000000" w:themeColor="text1"/>
        </w:rPr>
        <w:t>.</w:t>
      </w: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1. Los actos de gestión censal e inspección catastral del Impuesto, serán revisables en los términos y con arreglo a los procedimientos señalados en el Real Decreto Legislativo 2/2004, de 5 de marzo del texto refundido de la Ley Reguladora de las Haciendas Locales y en Real Decreto Legislativo 1/2004, de 5 de marzo, del texto refundido de la Ley del Catastro Inmobiliario.</w:t>
      </w:r>
    </w:p>
    <w:p w:rsidR="00F25CFB" w:rsidRPr="0053446C" w:rsidRDefault="00F25CFB" w:rsidP="00F25CFB">
      <w:pPr>
        <w:spacing w:after="0" w:line="240" w:lineRule="auto"/>
        <w:jc w:val="both"/>
        <w:rPr>
          <w:rFonts w:ascii="Open Sans" w:hAnsi="Open Sans" w:cs="Open Sans"/>
          <w:color w:val="000000" w:themeColor="text1"/>
        </w:rPr>
      </w:pPr>
    </w:p>
    <w:p w:rsidR="00F25CFB" w:rsidRPr="0053446C" w:rsidRDefault="00F25CFB" w:rsidP="00F25CFB">
      <w:pPr>
        <w:spacing w:after="0" w:line="240" w:lineRule="auto"/>
        <w:jc w:val="both"/>
        <w:rPr>
          <w:rFonts w:ascii="Open Sans" w:hAnsi="Open Sans" w:cs="Open Sans"/>
          <w:color w:val="000000" w:themeColor="text1"/>
        </w:rPr>
      </w:pPr>
      <w:r w:rsidRPr="0053446C">
        <w:rPr>
          <w:rFonts w:ascii="Open Sans" w:hAnsi="Open Sans" w:cs="Open Sans"/>
          <w:color w:val="000000" w:themeColor="text1"/>
        </w:rPr>
        <w:t xml:space="preserve">2. Los actos de gestión tributaria del Impuesto, serán revisables conforme al procedimiento aplicable a la Entidad que los dicte. En particular, los actos de gestión tributaria dictados por una Entidad local se revisarán conforme a </w:t>
      </w:r>
      <w:r w:rsidRPr="0053446C">
        <w:rPr>
          <w:rFonts w:ascii="Open Sans" w:hAnsi="Open Sans" w:cs="Open Sans"/>
          <w:color w:val="000000" w:themeColor="text1"/>
        </w:rPr>
        <w:lastRenderedPageBreak/>
        <w:t>lo preceptuado en el artículo 14, del Real Decreto Legislativo 2/2004, de 5 de marzo del texto refundido de la Ley Reguladora de las Haciendas Locales.</w:t>
      </w:r>
    </w:p>
    <w:p w:rsidR="00F25CFB" w:rsidRPr="0053446C" w:rsidRDefault="00F25CFB" w:rsidP="00F25CFB">
      <w:pPr>
        <w:spacing w:after="0" w:line="240" w:lineRule="auto"/>
        <w:jc w:val="both"/>
        <w:rPr>
          <w:rFonts w:ascii="Open Sans" w:hAnsi="Open Sans" w:cs="Open Sans"/>
          <w:b/>
          <w:color w:val="000000" w:themeColor="text1"/>
        </w:rPr>
      </w:pPr>
    </w:p>
    <w:p w:rsidR="00F25CFB" w:rsidRPr="0053446C" w:rsidRDefault="00F25CFB" w:rsidP="00F25CFB">
      <w:pPr>
        <w:spacing w:after="0"/>
        <w:jc w:val="both"/>
        <w:rPr>
          <w:rFonts w:ascii="Open Sans" w:eastAsiaTheme="minorEastAsia" w:hAnsi="Open Sans" w:cs="Open Sans"/>
          <w:b/>
          <w:color w:val="000000" w:themeColor="text1"/>
          <w:lang w:eastAsia="es-ES"/>
        </w:rPr>
      </w:pPr>
      <w:r w:rsidRPr="0053446C">
        <w:rPr>
          <w:rFonts w:ascii="Open Sans" w:eastAsiaTheme="minorEastAsia" w:hAnsi="Open Sans" w:cs="Open Sans"/>
          <w:b/>
          <w:color w:val="000000" w:themeColor="text1"/>
          <w:lang w:eastAsia="es-ES"/>
        </w:rPr>
        <w:t>Artículo 14. INFRACCIONES Y SANCIONES TRIBUTARIAS.</w:t>
      </w:r>
    </w:p>
    <w:p w:rsidR="00F25CFB" w:rsidRPr="0053446C" w:rsidRDefault="00F25CFB" w:rsidP="00F25CFB">
      <w:pPr>
        <w:spacing w:after="0"/>
        <w:jc w:val="both"/>
        <w:rPr>
          <w:rFonts w:ascii="Open Sans" w:eastAsiaTheme="minorEastAsia" w:hAnsi="Open Sans" w:cs="Open Sans"/>
          <w:color w:val="000000" w:themeColor="text1"/>
          <w:lang w:eastAsia="es-ES"/>
        </w:rPr>
      </w:pPr>
      <w:r w:rsidRPr="0053446C">
        <w:rPr>
          <w:rFonts w:ascii="Open Sans" w:eastAsiaTheme="minorEastAsia" w:hAnsi="Open Sans" w:cs="Open Sans"/>
          <w:color w:val="000000" w:themeColor="text1"/>
          <w:lang w:eastAsia="es-ES"/>
        </w:rPr>
        <w:t>En todo lo relativo a infracciones tributarias y sus distintas calificaciones, así como a las sanciones que a las mismas correspondan en cada caso, se aplicará lo dispuesto en la Ley General Tributaria y en la Ordenanza Fiscal General de gestión, liquidación, inspección y recaudación de los ingresos de derecho público de la Diputación Provincial de Badajoz.</w:t>
      </w:r>
    </w:p>
    <w:p w:rsidR="00F25CFB" w:rsidRPr="0053446C" w:rsidRDefault="00F25CFB" w:rsidP="00F25CFB">
      <w:pPr>
        <w:tabs>
          <w:tab w:val="left" w:pos="630"/>
          <w:tab w:val="left" w:pos="990"/>
        </w:tabs>
        <w:spacing w:before="240" w:after="0"/>
        <w:jc w:val="both"/>
        <w:rPr>
          <w:rFonts w:ascii="Open Sans" w:hAnsi="Open Sans" w:cs="Open Sans"/>
          <w:b/>
          <w:bCs/>
          <w:color w:val="000000" w:themeColor="text1"/>
          <w:lang w:val="es-ES_tradnl"/>
        </w:rPr>
      </w:pPr>
      <w:r w:rsidRPr="0053446C">
        <w:rPr>
          <w:rFonts w:ascii="Open Sans" w:hAnsi="Open Sans" w:cs="Open Sans"/>
          <w:b/>
          <w:bCs/>
          <w:color w:val="000000" w:themeColor="text1"/>
          <w:lang w:val="es-ES_tradnl"/>
        </w:rPr>
        <w:t>DISPOSICIÓN ADICIONAL ÚNICA.  MODIFICACIONES DEL IMPUESTO.</w:t>
      </w:r>
    </w:p>
    <w:p w:rsidR="00F25CFB" w:rsidRPr="0053446C" w:rsidRDefault="00F25CFB" w:rsidP="00F25CFB">
      <w:pPr>
        <w:tabs>
          <w:tab w:val="left" w:pos="630"/>
          <w:tab w:val="left" w:pos="990"/>
        </w:tabs>
        <w:spacing w:after="0"/>
        <w:jc w:val="both"/>
        <w:rPr>
          <w:rFonts w:ascii="Open Sans" w:hAnsi="Open Sans" w:cs="Open Sans"/>
          <w:color w:val="000000" w:themeColor="text1"/>
          <w:lang w:val="es-ES_tradnl"/>
        </w:rPr>
      </w:pPr>
      <w:r w:rsidRPr="0053446C">
        <w:rPr>
          <w:rFonts w:ascii="Open Sans" w:hAnsi="Open Sans" w:cs="Open Sans"/>
          <w:color w:val="000000" w:themeColor="text1"/>
          <w:lang w:val="es-ES_tradnl"/>
        </w:rPr>
        <w:t>Las modificaciones que se introduzcan en la regulación del Impuesto, por las Leyes de Presupuestos Generales del Estado o por cualesquiera otras leyes o disposiciones, y que resulten de aplicación directa, producirán, en su caso, la correspondiente modificación tácita de la presente Ordenanza fiscal.</w:t>
      </w:r>
    </w:p>
    <w:p w:rsidR="00F25CFB" w:rsidRPr="0053446C" w:rsidRDefault="00F25CFB" w:rsidP="00F25CFB">
      <w:pPr>
        <w:tabs>
          <w:tab w:val="left" w:pos="630"/>
          <w:tab w:val="left" w:pos="990"/>
        </w:tabs>
        <w:spacing w:before="240" w:after="0"/>
        <w:jc w:val="both"/>
        <w:rPr>
          <w:rFonts w:ascii="Open Sans" w:hAnsi="Open Sans" w:cs="Open Sans"/>
          <w:b/>
          <w:bCs/>
          <w:color w:val="000000" w:themeColor="text1"/>
          <w:lang w:val="es-ES_tradnl"/>
        </w:rPr>
      </w:pPr>
      <w:r w:rsidRPr="0053446C">
        <w:rPr>
          <w:rFonts w:ascii="Open Sans" w:hAnsi="Open Sans" w:cs="Open Sans"/>
          <w:b/>
          <w:bCs/>
          <w:color w:val="000000" w:themeColor="text1"/>
          <w:lang w:val="es-ES_tradnl"/>
        </w:rPr>
        <w:t>DISPOSICIÓN FINAL ÚNICA.  APROBACIÓN, ENTRADA EN VIGOR Y MODIFICACIÓN DE LA ORDENANZA FISCAL.</w:t>
      </w:r>
    </w:p>
    <w:p w:rsidR="00F25CFB" w:rsidRPr="0053446C" w:rsidRDefault="00F25CFB" w:rsidP="00F25CFB">
      <w:pPr>
        <w:tabs>
          <w:tab w:val="left" w:pos="0"/>
          <w:tab w:val="left" w:pos="540"/>
          <w:tab w:val="left" w:pos="720"/>
        </w:tabs>
        <w:spacing w:after="0"/>
        <w:jc w:val="both"/>
        <w:rPr>
          <w:rFonts w:ascii="Open Sans" w:eastAsia="Times New Roman" w:hAnsi="Open Sans" w:cs="Open Sans"/>
          <w:color w:val="000000" w:themeColor="text1"/>
          <w:lang w:eastAsia="es-ES"/>
        </w:rPr>
      </w:pPr>
      <w:r w:rsidRPr="0053446C">
        <w:rPr>
          <w:rFonts w:ascii="Open Sans" w:eastAsia="Times New Roman" w:hAnsi="Open Sans" w:cs="Open Sans"/>
          <w:color w:val="000000" w:themeColor="text1"/>
          <w:lang w:eastAsia="es-ES"/>
        </w:rPr>
        <w:t xml:space="preserve">La presente Ordenanza fiscal, aprobada por el Pleno de este Ayuntamiento en sesión celebrada </w:t>
      </w:r>
      <w:r w:rsidRPr="00414FAF">
        <w:rPr>
          <w:rFonts w:ascii="Open Sans" w:eastAsia="Times New Roman" w:hAnsi="Open Sans" w:cs="Open Sans"/>
          <w:color w:val="000000" w:themeColor="text1"/>
          <w:lang w:eastAsia="es-ES"/>
        </w:rPr>
        <w:t xml:space="preserve">el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vertAlign w:val="superscript"/>
          <w:lang w:eastAsia="es-ES"/>
        </w:rPr>
        <w:footnoteReference w:id="23"/>
      </w:r>
      <w:r w:rsidRPr="0053446C">
        <w:rPr>
          <w:rFonts w:ascii="Open Sans" w:eastAsia="Times New Roman" w:hAnsi="Open Sans" w:cs="Open Sans"/>
          <w:color w:val="000000" w:themeColor="text1"/>
          <w:lang w:eastAsia="es-ES"/>
        </w:rPr>
        <w:t xml:space="preserve"> comenzará a regir con efectos desde </w:t>
      </w:r>
      <w:r w:rsidRPr="00414FAF">
        <w:rPr>
          <w:rFonts w:ascii="Open Sans" w:eastAsia="Times New Roman" w:hAnsi="Open Sans" w:cs="Open Sans"/>
          <w:color w:val="000000" w:themeColor="text1"/>
          <w:lang w:eastAsia="es-ES"/>
        </w:rPr>
        <w:t xml:space="preserve">el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lang w:eastAsia="es-ES"/>
        </w:rPr>
        <w:t xml:space="preserve"> de </w:t>
      </w:r>
      <w:r w:rsidRPr="00414FAF">
        <w:rPr>
          <w:rFonts w:ascii="Open Sans" w:eastAsia="Times New Roman" w:hAnsi="Open Sans" w:cs="Open Sans"/>
          <w:color w:val="000000" w:themeColor="text1"/>
          <w:highlight w:val="red"/>
          <w:lang w:eastAsia="es-ES"/>
        </w:rPr>
        <w:t>...</w:t>
      </w:r>
      <w:r w:rsidRPr="00414FAF">
        <w:rPr>
          <w:rFonts w:ascii="Open Sans" w:eastAsia="Times New Roman" w:hAnsi="Open Sans" w:cs="Open Sans"/>
          <w:color w:val="000000" w:themeColor="text1"/>
          <w:vertAlign w:val="superscript"/>
          <w:lang w:eastAsia="es-ES"/>
        </w:rPr>
        <w:footnoteReference w:id="24"/>
      </w:r>
      <w:r w:rsidRPr="0053446C">
        <w:rPr>
          <w:rFonts w:ascii="Open Sans" w:eastAsia="Times New Roman" w:hAnsi="Open Sans" w:cs="Open Sans"/>
          <w:color w:val="000000" w:themeColor="text1"/>
          <w:lang w:eastAsia="es-ES"/>
        </w:rPr>
        <w:t>y continuará vigente en tanto no se acuerde su modificación o derogación.  En caso de modificación parcial de esta Ordenanza fiscal, los artículos no modificados continuarán vigentes.</w:t>
      </w:r>
      <w:r>
        <w:rPr>
          <w:rStyle w:val="Refdenotaalpie"/>
          <w:rFonts w:ascii="Open Sans" w:eastAsia="Times New Roman" w:hAnsi="Open Sans" w:cs="Open Sans"/>
          <w:color w:val="000000" w:themeColor="text1"/>
          <w:lang w:eastAsia="es-ES"/>
        </w:rPr>
        <w:footnoteReference w:id="25"/>
      </w:r>
    </w:p>
    <w:p w:rsidR="00C67F51" w:rsidRPr="00B364C2" w:rsidRDefault="00C67F51" w:rsidP="00F25CFB">
      <w:pPr>
        <w:spacing w:after="0"/>
        <w:jc w:val="both"/>
        <w:rPr>
          <w:rFonts w:ascii="Open Sans" w:hAnsi="Open Sans" w:cs="Open Sans"/>
          <w:color w:val="000000" w:themeColor="text1"/>
        </w:rPr>
      </w:pPr>
    </w:p>
    <w:sectPr w:rsidR="00C67F51" w:rsidRPr="00B364C2" w:rsidSect="00F25CFB">
      <w:headerReference w:type="default" r:id="rId9"/>
      <w:footerReference w:type="default" r:id="rId10"/>
      <w:pgSz w:w="11906" w:h="16838"/>
      <w:pgMar w:top="1985" w:right="1701" w:bottom="1417" w:left="1701" w:header="70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28" w:rsidRDefault="00E24B28" w:rsidP="00B364C2">
      <w:pPr>
        <w:spacing w:after="0" w:line="240" w:lineRule="auto"/>
      </w:pPr>
      <w:r>
        <w:separator/>
      </w:r>
    </w:p>
  </w:endnote>
  <w:endnote w:type="continuationSeparator" w:id="0">
    <w:p w:rsidR="00E24B28" w:rsidRDefault="00E24B28" w:rsidP="00B3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88351"/>
      <w:docPartObj>
        <w:docPartGallery w:val="Page Numbers (Bottom of Page)"/>
        <w:docPartUnique/>
      </w:docPartObj>
    </w:sdtPr>
    <w:sdtEndPr/>
    <w:sdtContent>
      <w:p w:rsidR="00F25CFB" w:rsidRDefault="00927954" w:rsidP="00F25CFB">
        <w:pPr>
          <w:pStyle w:val="Piedepgina"/>
          <w:tabs>
            <w:tab w:val="clear" w:pos="4252"/>
            <w:tab w:val="clear" w:pos="8504"/>
            <w:tab w:val="left" w:pos="4739"/>
          </w:tabs>
          <w:jc w:val="center"/>
          <w:rPr>
            <w:rFonts w:ascii="Open Sans" w:hAnsi="Open Sans" w:cs="Open Sans"/>
            <w:sz w:val="20"/>
          </w:rPr>
        </w:pPr>
        <w:r>
          <w:rPr>
            <w:rFonts w:ascii="Open Sans" w:hAnsi="Open Sans" w:cs="Open Sans"/>
            <w:noProof/>
            <w:sz w:val="20"/>
            <w:lang w:eastAsia="es-ES"/>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-85726</wp:posOffset>
                  </wp:positionV>
                  <wp:extent cx="5379720" cy="0"/>
                  <wp:effectExtent l="0" t="0" r="11430"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9720" cy="0"/>
                          </a:xfrm>
                          <a:prstGeom prst="line">
                            <a:avLst/>
                          </a:prstGeom>
                          <a:ln>
                            <a:solidFill>
                              <a:srgbClr val="8E6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6.75pt" to="4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" strokecolor="#8e6022">
                  <o:lock v:ext="edit" shapetype="f"/>
                </v:line>
              </w:pict>
            </mc:Fallback>
          </mc:AlternateContent>
        </w:r>
        <w:r w:rsidR="00F25CFB">
          <w:rPr>
            <w:rFonts w:ascii="Open Sans" w:hAnsi="Open Sans" w:cs="Open Sans"/>
            <w:noProof/>
            <w:sz w:val="20"/>
            <w:lang w:eastAsia="es-ES"/>
          </w:rPr>
          <w:t>Modelario</w:t>
        </w:r>
        <w:r w:rsidR="00F25CFB">
          <w:rPr>
            <w:rFonts w:ascii="Open Sans" w:hAnsi="Open Sans" w:cs="Open Sans"/>
            <w:sz w:val="20"/>
          </w:rPr>
          <w:t xml:space="preserve"> de Ordenanzas Fiscales  </w:t>
        </w:r>
      </w:p>
      <w:p w:rsidR="00B364C2" w:rsidRPr="00F25CFB" w:rsidRDefault="00BE2919" w:rsidP="00F25CFB">
        <w:pPr>
          <w:pStyle w:val="Piedepgina"/>
          <w:tabs>
            <w:tab w:val="clear" w:pos="4252"/>
            <w:tab w:val="clear" w:pos="8504"/>
            <w:tab w:val="left" w:pos="4739"/>
          </w:tabs>
          <w:jc w:val="center"/>
          <w:rPr>
            <w:rFonts w:ascii="Open Sans" w:hAnsi="Open Sans" w:cs="Open Sans"/>
            <w:sz w:val="18"/>
          </w:rPr>
        </w:pPr>
        <w:r w:rsidRPr="001F73E4">
          <w:rPr>
            <w:rFonts w:ascii="Open Sans" w:hAnsi="Open Sans" w:cs="Open Sans"/>
            <w:sz w:val="18"/>
          </w:rPr>
          <w:fldChar w:fldCharType="begin"/>
        </w:r>
        <w:r w:rsidR="00F25CFB" w:rsidRPr="001F73E4">
          <w:rPr>
            <w:rFonts w:ascii="Open Sans" w:hAnsi="Open Sans" w:cs="Open Sans"/>
            <w:sz w:val="18"/>
          </w:rPr>
          <w:instrText>PAGE   \* MERGEFORMAT</w:instrText>
        </w:r>
        <w:r w:rsidRPr="001F73E4">
          <w:rPr>
            <w:rFonts w:ascii="Open Sans" w:hAnsi="Open Sans" w:cs="Open Sans"/>
            <w:sz w:val="18"/>
          </w:rPr>
          <w:fldChar w:fldCharType="separate"/>
        </w:r>
        <w:r w:rsidR="00376F88" w:rsidRPr="00376F88">
          <w:rPr>
            <w:rFonts w:ascii="Open Sans" w:hAnsi="Open Sans" w:cs="Open Sans"/>
            <w:b/>
            <w:bCs/>
            <w:noProof/>
            <w:sz w:val="18"/>
          </w:rPr>
          <w:t>1</w:t>
        </w:r>
        <w:r w:rsidRPr="001F73E4">
          <w:rPr>
            <w:rFonts w:ascii="Open Sans" w:hAnsi="Open Sans" w:cs="Open Sans"/>
            <w:b/>
            <w:bCs/>
            <w:sz w:val="18"/>
          </w:rPr>
          <w:fldChar w:fldCharType="end"/>
        </w:r>
        <w:r w:rsidR="00F25CFB" w:rsidRPr="001F73E4">
          <w:rPr>
            <w:rFonts w:ascii="Open Sans" w:hAnsi="Open Sans" w:cs="Open Sans"/>
            <w:sz w:val="18"/>
          </w:rPr>
          <w:t>|</w:t>
        </w:r>
        <w:r w:rsidR="00F25CFB" w:rsidRPr="001F73E4">
          <w:rPr>
            <w:rFonts w:ascii="Open Sans" w:hAnsi="Open Sans" w:cs="Open Sans"/>
            <w:color w:val="808080" w:themeColor="background1" w:themeShade="80"/>
            <w:spacing w:val="60"/>
            <w:sz w:val="18"/>
          </w:rPr>
          <w:t>Página</w:t>
        </w:r>
      </w:p>
    </w:sdtContent>
  </w:sdt>
  <w:p w:rsidR="00B364C2" w:rsidRDefault="00B36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28" w:rsidRDefault="00E24B28" w:rsidP="00B364C2">
      <w:pPr>
        <w:spacing w:after="0" w:line="240" w:lineRule="auto"/>
      </w:pPr>
      <w:r>
        <w:separator/>
      </w:r>
    </w:p>
  </w:footnote>
  <w:footnote w:type="continuationSeparator" w:id="0">
    <w:p w:rsidR="00E24B28" w:rsidRDefault="00E24B28" w:rsidP="00B364C2">
      <w:pPr>
        <w:spacing w:after="0" w:line="240" w:lineRule="auto"/>
      </w:pPr>
      <w:r>
        <w:continuationSeparator/>
      </w:r>
    </w:p>
  </w:footnote>
  <w:footnote w:id="1">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de aplicación potestativa por el Ayuntamiento. Por tanto, si no desean aplicar la misma puede suprimirse este párrafo.</w:t>
      </w:r>
    </w:p>
  </w:footnote>
  <w:footnote w:id="2">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OAR recomienda fijar esta</w:t>
      </w:r>
      <w:r w:rsidRPr="000A6930">
        <w:rPr>
          <w:rFonts w:ascii="Open Sans" w:hAnsi="Open Sans" w:cs="Open Sans"/>
          <w:b/>
          <w:sz w:val="18"/>
          <w:szCs w:val="18"/>
        </w:rPr>
        <w:t xml:space="preserve"> cuota mínima en 6€.</w:t>
      </w:r>
    </w:p>
  </w:footnote>
  <w:footnote w:id="3">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OAR recomienda fijar esta</w:t>
      </w:r>
      <w:r w:rsidRPr="000A6930">
        <w:rPr>
          <w:rFonts w:ascii="Open Sans" w:hAnsi="Open Sans" w:cs="Open Sans"/>
          <w:b/>
          <w:sz w:val="18"/>
          <w:szCs w:val="18"/>
        </w:rPr>
        <w:t xml:space="preserve"> cuota mínima en 6€.</w:t>
      </w:r>
    </w:p>
  </w:footnote>
  <w:footnote w:id="4">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de aplicación potestativa por el Ayuntamiento. Por tanto, si no desean aplicar la misma puede suprimirse este párrafo.</w:t>
      </w:r>
    </w:p>
  </w:footnote>
  <w:footnote w:id="5">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puede establecer un coeficiente entre 0,5-1. Si el Ayuntamiento no establece nada al respecto, el coeficiente aplicable será del 0,5.</w:t>
      </w:r>
    </w:p>
  </w:footnote>
  <w:footnote w:id="6">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w:t>
      </w:r>
      <w:r w:rsidRPr="000A6930">
        <w:rPr>
          <w:rFonts w:ascii="Open Sans" w:hAnsi="Open Sans" w:cs="Open Sans"/>
          <w:b/>
          <w:sz w:val="18"/>
          <w:szCs w:val="18"/>
        </w:rPr>
        <w:t>tipo de gravamen</w:t>
      </w:r>
      <w:r w:rsidRPr="000A6930">
        <w:rPr>
          <w:rFonts w:ascii="Open Sans" w:hAnsi="Open Sans" w:cs="Open Sans"/>
          <w:sz w:val="18"/>
          <w:szCs w:val="18"/>
        </w:rPr>
        <w:t xml:space="preserve"> para bienes de naturaleza urbana debe oscilar </w:t>
      </w:r>
      <w:r w:rsidRPr="000A6930">
        <w:rPr>
          <w:rFonts w:ascii="Open Sans" w:hAnsi="Open Sans" w:cs="Open Sans"/>
          <w:b/>
          <w:sz w:val="18"/>
          <w:szCs w:val="18"/>
        </w:rPr>
        <w:t>entre 0.4% y 1.1%.</w:t>
      </w:r>
    </w:p>
  </w:footnote>
  <w:footnote w:id="7">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b/>
          <w:sz w:val="18"/>
          <w:szCs w:val="18"/>
        </w:rPr>
        <w:t>La aplicación del tipo de gravamen incrementado es potestativo</w:t>
      </w:r>
      <w:r w:rsidRPr="000A6930">
        <w:rPr>
          <w:rFonts w:ascii="Open Sans" w:hAnsi="Open Sans" w:cs="Open Sans"/>
          <w:sz w:val="18"/>
          <w:szCs w:val="18"/>
        </w:rPr>
        <w:t>, por tanto, si el Ayuntamiento no desea aplicarlos puede suprimir este apartado. Si desea aplicarlos, puede incrementarlos aplicando una o varias de las siguientes opciones, y teniendo en cuenta los siguientes límites:</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que sean </w:t>
      </w:r>
      <w:r w:rsidRPr="000A6930">
        <w:rPr>
          <w:rFonts w:ascii="Open Sans" w:hAnsi="Open Sans" w:cs="Open Sans"/>
          <w:b/>
          <w:sz w:val="18"/>
          <w:szCs w:val="18"/>
        </w:rPr>
        <w:t>capital de provincia o Comunidad Autónoma</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0,07%.</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en los que se preste servicio de </w:t>
      </w:r>
      <w:r w:rsidRPr="000A6930">
        <w:rPr>
          <w:rFonts w:ascii="Open Sans" w:hAnsi="Open Sans" w:cs="Open Sans"/>
          <w:b/>
          <w:sz w:val="18"/>
          <w:szCs w:val="18"/>
        </w:rPr>
        <w:t>transporte público colectivo de superficie</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0,06%.</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cuyos </w:t>
      </w:r>
      <w:r w:rsidRPr="000A6930">
        <w:rPr>
          <w:rFonts w:ascii="Open Sans" w:hAnsi="Open Sans" w:cs="Open Sans"/>
          <w:b/>
          <w:sz w:val="18"/>
          <w:szCs w:val="18"/>
        </w:rPr>
        <w:t>ayuntamientos presten</w:t>
      </w:r>
      <w:r w:rsidR="00D4326B">
        <w:rPr>
          <w:rFonts w:ascii="Open Sans" w:hAnsi="Open Sans" w:cs="Open Sans"/>
          <w:b/>
          <w:sz w:val="18"/>
          <w:szCs w:val="18"/>
        </w:rPr>
        <w:t xml:space="preserve"> </w:t>
      </w:r>
      <w:r w:rsidRPr="000A6930">
        <w:rPr>
          <w:rFonts w:ascii="Open Sans" w:hAnsi="Open Sans" w:cs="Open Sans"/>
          <w:b/>
          <w:sz w:val="18"/>
          <w:szCs w:val="18"/>
        </w:rPr>
        <w:t>más servicios</w:t>
      </w:r>
      <w:r w:rsidRPr="000A6930">
        <w:rPr>
          <w:rFonts w:ascii="Open Sans" w:hAnsi="Open Sans" w:cs="Open Sans"/>
          <w:sz w:val="18"/>
          <w:szCs w:val="18"/>
        </w:rPr>
        <w:t xml:space="preserve"> de aquellos a los que están obligados según lo dispuesto en el artículo 26 de la Ley 7/1985, de 2 de abril: se puede incrementar </w:t>
      </w:r>
      <w:r w:rsidRPr="000A6930">
        <w:rPr>
          <w:rFonts w:ascii="Open Sans" w:hAnsi="Open Sans" w:cs="Open Sans"/>
          <w:b/>
          <w:sz w:val="18"/>
          <w:szCs w:val="18"/>
        </w:rPr>
        <w:t>hasta en  0,06%.</w:t>
      </w:r>
    </w:p>
    <w:p w:rsidR="00F25CFB" w:rsidRPr="000A6930" w:rsidRDefault="00F25CFB" w:rsidP="00F25CFB">
      <w:pPr>
        <w:pStyle w:val="Textonotapie"/>
        <w:ind w:left="720"/>
        <w:jc w:val="both"/>
        <w:rPr>
          <w:rFonts w:ascii="Open Sans" w:hAnsi="Open Sans" w:cs="Open Sans"/>
          <w:b/>
          <w:sz w:val="18"/>
          <w:szCs w:val="18"/>
        </w:rPr>
      </w:pPr>
    </w:p>
  </w:footnote>
  <w:footnote w:id="8">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La aplicación de los </w:t>
      </w:r>
      <w:r w:rsidRPr="000A6930">
        <w:rPr>
          <w:rFonts w:ascii="Open Sans" w:hAnsi="Open Sans" w:cs="Open Sans"/>
          <w:b/>
          <w:sz w:val="18"/>
          <w:szCs w:val="18"/>
        </w:rPr>
        <w:t>tipos de gravamen diferenciados por uso</w:t>
      </w:r>
      <w:r w:rsidRPr="000A6930">
        <w:rPr>
          <w:rFonts w:ascii="Open Sans" w:hAnsi="Open Sans" w:cs="Open Sans"/>
          <w:sz w:val="18"/>
          <w:szCs w:val="18"/>
        </w:rPr>
        <w:t xml:space="preserve"> es potestativa, por tanto, si el Ayuntamiento no desea aplicarlos puede suprimir este apartado. Si desea aplicarlos, deberá indicar el tipo de gravamen a aplicar y el valor a partir de cual procede la aplicación del gravamen expresado, siendo estos datos totalmente obligatorios de contemplar en el  texto de la Ordenanza reguladora de este impuesto.</w:t>
      </w:r>
    </w:p>
  </w:footnote>
  <w:footnote w:id="9">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w:t>
      </w:r>
      <w:r w:rsidRPr="000A6930">
        <w:rPr>
          <w:rFonts w:ascii="Open Sans" w:hAnsi="Open Sans" w:cs="Open Sans"/>
          <w:b/>
          <w:sz w:val="18"/>
          <w:szCs w:val="18"/>
        </w:rPr>
        <w:t>tipo de gravamen</w:t>
      </w:r>
      <w:r w:rsidRPr="000A6930">
        <w:rPr>
          <w:rFonts w:ascii="Open Sans" w:hAnsi="Open Sans" w:cs="Open Sans"/>
          <w:sz w:val="18"/>
          <w:szCs w:val="18"/>
        </w:rPr>
        <w:t xml:space="preserve"> para bienes de naturaleza rústica debe oscilar </w:t>
      </w:r>
      <w:r w:rsidRPr="000A6930">
        <w:rPr>
          <w:rFonts w:ascii="Open Sans" w:hAnsi="Open Sans" w:cs="Open Sans"/>
          <w:b/>
          <w:sz w:val="18"/>
          <w:szCs w:val="18"/>
        </w:rPr>
        <w:t>entre 0.3% y 0.9%.</w:t>
      </w:r>
    </w:p>
  </w:footnote>
  <w:footnote w:id="10">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b/>
          <w:sz w:val="18"/>
          <w:szCs w:val="18"/>
        </w:rPr>
        <w:t>La aplicación del tipo de gravamen incrementado es potestativo</w:t>
      </w:r>
      <w:r w:rsidRPr="000A6930">
        <w:rPr>
          <w:rFonts w:ascii="Open Sans" w:hAnsi="Open Sans" w:cs="Open Sans"/>
          <w:sz w:val="18"/>
          <w:szCs w:val="18"/>
        </w:rPr>
        <w:t>, por tanto, si el Ayuntamiento no desea aplicarlos puede suprimir este apartado. Si desea aplicarlos, puede incrementarlos aplicando una o varias de las siguientes opciones, y teniendo en cuenta los siguientes límites:</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que sean </w:t>
      </w:r>
      <w:r w:rsidRPr="000A6930">
        <w:rPr>
          <w:rFonts w:ascii="Open Sans" w:hAnsi="Open Sans" w:cs="Open Sans"/>
          <w:b/>
          <w:sz w:val="18"/>
          <w:szCs w:val="18"/>
        </w:rPr>
        <w:t>capital de provincia o Comunidad Autónoma</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0,06%.</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en los que se preste servicio de </w:t>
      </w:r>
      <w:r w:rsidRPr="000A6930">
        <w:rPr>
          <w:rFonts w:ascii="Open Sans" w:hAnsi="Open Sans" w:cs="Open Sans"/>
          <w:b/>
          <w:sz w:val="18"/>
          <w:szCs w:val="18"/>
        </w:rPr>
        <w:t>transporte público colectivo de superficie</w:t>
      </w:r>
      <w:r w:rsidRPr="000A6930">
        <w:rPr>
          <w:rFonts w:ascii="Open Sans" w:hAnsi="Open Sans" w:cs="Open Sans"/>
          <w:sz w:val="18"/>
          <w:szCs w:val="18"/>
        </w:rPr>
        <w:t xml:space="preserve">: se puede incrementar </w:t>
      </w:r>
      <w:r w:rsidRPr="000A6930">
        <w:rPr>
          <w:rFonts w:ascii="Open Sans" w:hAnsi="Open Sans" w:cs="Open Sans"/>
          <w:b/>
          <w:sz w:val="18"/>
          <w:szCs w:val="18"/>
        </w:rPr>
        <w:t>hasta en  0,05%.</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cuyos </w:t>
      </w:r>
      <w:r w:rsidRPr="000A6930">
        <w:rPr>
          <w:rFonts w:ascii="Open Sans" w:hAnsi="Open Sans" w:cs="Open Sans"/>
          <w:b/>
          <w:sz w:val="18"/>
          <w:szCs w:val="18"/>
        </w:rPr>
        <w:t>ayuntamientos presten</w:t>
      </w:r>
      <w:r w:rsidR="00813685">
        <w:rPr>
          <w:rFonts w:ascii="Open Sans" w:hAnsi="Open Sans" w:cs="Open Sans"/>
          <w:b/>
          <w:sz w:val="18"/>
          <w:szCs w:val="18"/>
        </w:rPr>
        <w:t xml:space="preserve"> </w:t>
      </w:r>
      <w:r w:rsidRPr="000A6930">
        <w:rPr>
          <w:rFonts w:ascii="Open Sans" w:hAnsi="Open Sans" w:cs="Open Sans"/>
          <w:b/>
          <w:sz w:val="18"/>
          <w:szCs w:val="18"/>
        </w:rPr>
        <w:t>más servicios</w:t>
      </w:r>
      <w:r w:rsidRPr="000A6930">
        <w:rPr>
          <w:rFonts w:ascii="Open Sans" w:hAnsi="Open Sans" w:cs="Open Sans"/>
          <w:sz w:val="18"/>
          <w:szCs w:val="18"/>
        </w:rPr>
        <w:t xml:space="preserve"> de aquellos a los que están obligados según lo dispuesto en el artículo 26 de la Ley 7/1985, de 2 de abril: se puede incrementar </w:t>
      </w:r>
      <w:r w:rsidRPr="000A6930">
        <w:rPr>
          <w:rFonts w:ascii="Open Sans" w:hAnsi="Open Sans" w:cs="Open Sans"/>
          <w:b/>
          <w:sz w:val="18"/>
          <w:szCs w:val="18"/>
        </w:rPr>
        <w:t>hasta en  0,06%.</w:t>
      </w:r>
    </w:p>
    <w:p w:rsidR="00F25CFB" w:rsidRPr="000A6930" w:rsidRDefault="00F25CFB" w:rsidP="00F25CFB">
      <w:pPr>
        <w:pStyle w:val="Textonotapie"/>
        <w:numPr>
          <w:ilvl w:val="0"/>
          <w:numId w:val="10"/>
        </w:numPr>
        <w:jc w:val="both"/>
        <w:rPr>
          <w:rFonts w:ascii="Open Sans" w:hAnsi="Open Sans" w:cs="Open Sans"/>
          <w:b/>
          <w:sz w:val="18"/>
          <w:szCs w:val="18"/>
        </w:rPr>
      </w:pPr>
      <w:r w:rsidRPr="000A6930">
        <w:rPr>
          <w:rFonts w:ascii="Open Sans" w:hAnsi="Open Sans" w:cs="Open Sans"/>
          <w:sz w:val="18"/>
          <w:szCs w:val="18"/>
        </w:rPr>
        <w:t xml:space="preserve">Municipios en los que los terrenos de </w:t>
      </w:r>
      <w:r w:rsidRPr="000A6930">
        <w:rPr>
          <w:rFonts w:ascii="Open Sans" w:hAnsi="Open Sans" w:cs="Open Sans"/>
          <w:b/>
          <w:sz w:val="18"/>
          <w:szCs w:val="18"/>
        </w:rPr>
        <w:t>naturaleza rústica representan más del 80 por 100</w:t>
      </w:r>
      <w:r w:rsidRPr="000A6930">
        <w:rPr>
          <w:rFonts w:ascii="Open Sans" w:hAnsi="Open Sans" w:cs="Open Sans"/>
          <w:sz w:val="18"/>
          <w:szCs w:val="18"/>
        </w:rPr>
        <w:t xml:space="preserve"> de la superficie total del término: se puede incrementar </w:t>
      </w:r>
      <w:r w:rsidRPr="000A6930">
        <w:rPr>
          <w:rFonts w:ascii="Open Sans" w:hAnsi="Open Sans" w:cs="Open Sans"/>
          <w:b/>
          <w:sz w:val="18"/>
          <w:szCs w:val="18"/>
        </w:rPr>
        <w:t>hasta en  0,15%.</w:t>
      </w:r>
    </w:p>
  </w:footnote>
  <w:footnote w:id="11">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w:t>
      </w:r>
      <w:r w:rsidRPr="000A6930">
        <w:rPr>
          <w:rFonts w:ascii="Open Sans" w:hAnsi="Open Sans" w:cs="Open Sans"/>
          <w:b/>
          <w:sz w:val="18"/>
          <w:szCs w:val="18"/>
        </w:rPr>
        <w:t>tipo de gravamen</w:t>
      </w:r>
      <w:r w:rsidRPr="000A6930">
        <w:rPr>
          <w:rFonts w:ascii="Open Sans" w:hAnsi="Open Sans" w:cs="Open Sans"/>
          <w:sz w:val="18"/>
          <w:szCs w:val="18"/>
        </w:rPr>
        <w:t xml:space="preserve"> para BICES debe oscilar </w:t>
      </w:r>
      <w:r w:rsidRPr="000A6930">
        <w:rPr>
          <w:rFonts w:ascii="Open Sans" w:hAnsi="Open Sans" w:cs="Open Sans"/>
          <w:b/>
          <w:sz w:val="18"/>
          <w:szCs w:val="18"/>
        </w:rPr>
        <w:t>entre 0,4% y 1.3</w:t>
      </w:r>
      <w:r w:rsidRPr="000A6930">
        <w:rPr>
          <w:rFonts w:ascii="Open Sans" w:hAnsi="Open Sans" w:cs="Open Sans"/>
          <w:sz w:val="18"/>
          <w:szCs w:val="18"/>
        </w:rPr>
        <w:t xml:space="preserve">%.  El Ayuntamiento puede establecer tipo de gravamen diferenciado por cada una de las categorías de BICES, y que de acuerdo con el artículo 8 del RD 1/2004, de 5 de marzo, son las siguientes: </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a) Los destinados a la producción de energía eléctrica y gas y al refino de petróleo, y las centrales nucleares.</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b) Las presas, saltos de agua y embalses, incluido su lecho o vaso, excepto las destinadas exclusivamente al riego.</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c) Las autopistas, carreteras y túneles de peaje.</w:t>
      </w:r>
    </w:p>
    <w:p w:rsidR="00F25CFB" w:rsidRPr="000A6930" w:rsidRDefault="00F25CFB" w:rsidP="00F25CFB">
      <w:pPr>
        <w:pStyle w:val="Textonotapie"/>
        <w:ind w:left="567"/>
        <w:jc w:val="both"/>
        <w:rPr>
          <w:rFonts w:ascii="Open Sans" w:hAnsi="Open Sans" w:cs="Open Sans"/>
          <w:sz w:val="18"/>
          <w:szCs w:val="18"/>
        </w:rPr>
      </w:pPr>
      <w:r w:rsidRPr="000A6930">
        <w:rPr>
          <w:rFonts w:ascii="Open Sans" w:hAnsi="Open Sans" w:cs="Open Sans"/>
          <w:sz w:val="18"/>
          <w:szCs w:val="18"/>
        </w:rPr>
        <w:t>d) Los aeropuertos y puertos comerciales.</w:t>
      </w:r>
    </w:p>
  </w:footnote>
  <w:footnote w:id="12">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porcentaje de bonificación </w:t>
      </w:r>
      <w:r w:rsidRPr="000A6930">
        <w:rPr>
          <w:rFonts w:ascii="Open Sans" w:hAnsi="Open Sans" w:cs="Open Sans"/>
          <w:b/>
          <w:sz w:val="18"/>
          <w:szCs w:val="18"/>
        </w:rPr>
        <w:t>debe oscilar entre el 50 y el 90</w:t>
      </w:r>
      <w:r w:rsidRPr="000A6930">
        <w:rPr>
          <w:rFonts w:ascii="Open Sans" w:hAnsi="Open Sans" w:cs="Open Sans"/>
          <w:sz w:val="18"/>
          <w:szCs w:val="18"/>
        </w:rPr>
        <w:t xml:space="preserve">%, </w:t>
      </w:r>
      <w:r w:rsidRPr="000A6930">
        <w:rPr>
          <w:rFonts w:ascii="Open Sans" w:hAnsi="Open Sans" w:cs="Open Sans"/>
          <w:b/>
          <w:sz w:val="18"/>
          <w:szCs w:val="18"/>
        </w:rPr>
        <w:t>debe determinarse por el Ayuntamiento</w:t>
      </w:r>
      <w:r w:rsidRPr="000A6930">
        <w:rPr>
          <w:rFonts w:ascii="Open Sans" w:hAnsi="Open Sans" w:cs="Open Sans"/>
          <w:sz w:val="18"/>
          <w:szCs w:val="18"/>
        </w:rPr>
        <w:t xml:space="preserve">, ya que </w:t>
      </w:r>
      <w:r w:rsidRPr="000A6930">
        <w:rPr>
          <w:rFonts w:ascii="Open Sans" w:hAnsi="Open Sans" w:cs="Open Sans"/>
          <w:b/>
          <w:sz w:val="18"/>
          <w:szCs w:val="18"/>
        </w:rPr>
        <w:t>en caso contrario se aplicará por defecto una bonificación del 90%.</w:t>
      </w:r>
    </w:p>
  </w:footnote>
  <w:footnote w:id="13">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a partir de los 3 años desde la calificación definitiva de VPO, es de aplicación potestativa por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w:t>
      </w:r>
      <w:r w:rsidRPr="000A6930">
        <w:rPr>
          <w:rFonts w:ascii="Open Sans" w:hAnsi="Open Sans" w:cs="Open Sans"/>
          <w:sz w:val="18"/>
          <w:szCs w:val="18"/>
        </w:rPr>
        <w:t>, así como el número de años sobre los que se va a aplicar la misma. Asimismo, desde el OAR proponemos como requisito adicional, acreditar que el inmueble constituye el domicilio habitual del sujeto pasivo, sin perjuicio de que dicho requisito pueda ser modificado o complementado por cualquier otro que estime el municipio, como por ejemplo puede ser: Que los ingresos anuales del sujeto pasivo sean inferiores a … €.</w:t>
      </w:r>
    </w:p>
  </w:footnote>
  <w:footnote w:id="14">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90%</w:t>
      </w:r>
      <w:r w:rsidRPr="000A6930">
        <w:rPr>
          <w:rFonts w:ascii="Open Sans" w:hAnsi="Open Sans" w:cs="Open Sans"/>
          <w:sz w:val="18"/>
          <w:szCs w:val="18"/>
        </w:rPr>
        <w:t>, así como las demás características de la bonificación.</w:t>
      </w:r>
    </w:p>
  </w:footnote>
  <w:footnote w:id="15">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95%</w:t>
      </w:r>
      <w:r w:rsidRPr="000A6930">
        <w:rPr>
          <w:rFonts w:ascii="Open Sans" w:hAnsi="Open Sans" w:cs="Open Sans"/>
          <w:sz w:val="18"/>
          <w:szCs w:val="18"/>
        </w:rPr>
        <w:t>.</w:t>
      </w:r>
    </w:p>
  </w:footnote>
  <w:footnote w:id="16">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95%</w:t>
      </w:r>
      <w:r w:rsidRPr="000A6930">
        <w:rPr>
          <w:rFonts w:ascii="Open Sans" w:hAnsi="Open Sans" w:cs="Open Sans"/>
          <w:sz w:val="18"/>
          <w:szCs w:val="18"/>
        </w:rPr>
        <w:t>.</w:t>
      </w:r>
    </w:p>
  </w:footnote>
  <w:footnote w:id="17">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90%.</w:t>
      </w:r>
      <w:r w:rsidRPr="000A6930">
        <w:rPr>
          <w:rFonts w:ascii="Open Sans" w:hAnsi="Open Sans" w:cs="Open Sans"/>
          <w:sz w:val="18"/>
          <w:szCs w:val="18"/>
        </w:rPr>
        <w:t xml:space="preserve"> Al tratarse de una bonificación potestativa, las condiciones de concesión serán establecidas por el municipio a través de su Ordenanza Fiscal. El OAR al objeto de optimizar la gestión del impuesto, y mejora del sistema impositivo municipal, propone al municipio la adopción de la redacción reflejada para esta bonificación en este modelo de OOFF.</w:t>
      </w:r>
    </w:p>
    <w:p w:rsidR="00F25CFB" w:rsidRPr="000A6930" w:rsidRDefault="00F25CFB" w:rsidP="00F25CFB">
      <w:pPr>
        <w:pStyle w:val="Textonotapie"/>
        <w:rPr>
          <w:rFonts w:ascii="Open Sans" w:hAnsi="Open Sans" w:cs="Open Sans"/>
          <w:sz w:val="18"/>
          <w:szCs w:val="18"/>
        </w:rPr>
      </w:pPr>
      <w:r w:rsidRPr="000A6930">
        <w:rPr>
          <w:rFonts w:ascii="Open Sans" w:hAnsi="Open Sans" w:cs="Open Sans"/>
          <w:sz w:val="18"/>
          <w:szCs w:val="18"/>
        </w:rPr>
        <w:t>No obstante, pueden establecerse tipos de bonificación diferenciados para clase de bien inmueble de características especiales, atendiendo a la siguiente clasificación recogida en el artículo 8.2 del RD 1/2004, de 5 de marzo:</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Bienes inmuebles destinados  a la producción de energía eléctrica y gas y al refino de petróleo, y las centrales nucleares.</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Presas, saltos de agua y embalses, incluido su lecho o vaso, excepto las destinadas exclusivamente al riego.</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Autopistas, carreteras y túneles de peaje.</w:t>
      </w:r>
    </w:p>
    <w:p w:rsidR="00F25CFB" w:rsidRPr="000A6930" w:rsidRDefault="00F25CFB" w:rsidP="00F25CFB">
      <w:pPr>
        <w:pStyle w:val="Textonotapie"/>
        <w:numPr>
          <w:ilvl w:val="0"/>
          <w:numId w:val="10"/>
        </w:numPr>
        <w:rPr>
          <w:rFonts w:ascii="Open Sans" w:hAnsi="Open Sans" w:cs="Open Sans"/>
          <w:sz w:val="18"/>
          <w:szCs w:val="18"/>
        </w:rPr>
      </w:pPr>
      <w:r w:rsidRPr="000A6930">
        <w:rPr>
          <w:rFonts w:ascii="Open Sans" w:hAnsi="Open Sans" w:cs="Open Sans"/>
          <w:sz w:val="18"/>
          <w:szCs w:val="18"/>
        </w:rPr>
        <w:t>Aeropuertos y puertos comerciales.</w:t>
      </w:r>
    </w:p>
  </w:footnote>
  <w:footnote w:id="18">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90%.</w:t>
      </w:r>
      <w:r w:rsidRPr="000A6930">
        <w:rPr>
          <w:rFonts w:ascii="Open Sans" w:hAnsi="Open Sans" w:cs="Open Sans"/>
          <w:sz w:val="18"/>
          <w:szCs w:val="18"/>
        </w:rPr>
        <w:t xml:space="preserve"> Al tratarse de una bonificación potestativa, las condiciones de concesión serán establecidas por el municipio a través de su Ordenanza Fiscal. El OAR al objeto de optimizar la gestión del impuesto, y mejora del sistema impositivo municipal, propone al municipio la adopción de la redacción reflejada para esta bonificación en este modelo de OOFF.</w:t>
      </w:r>
    </w:p>
  </w:footnote>
  <w:footnote w:id="19">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La duración de esta bonificación debe ser definida por el ayuntamiento. Desde el OAR se propone una duración igual a la vigencia del título.</w:t>
      </w:r>
    </w:p>
  </w:footnote>
  <w:footnote w:id="20">
    <w:p w:rsidR="00F25CFB" w:rsidRPr="000A6930" w:rsidRDefault="00F25CFB" w:rsidP="00F25CFB">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 y el número de años durante los que procede aplicar la bonificación.</w:t>
      </w:r>
    </w:p>
  </w:footnote>
  <w:footnote w:id="21">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Además de las bonificaciones reflejadas en los epígrafes anteriores, el Ayuntamiento, de acuerdo con el artículo 75 del RD 2/2004, de 5 de marzo, podrá establecer también alguna de las siguientes bonificaciones:</w:t>
      </w:r>
    </w:p>
    <w:p w:rsidR="00F25CFB" w:rsidRPr="000A6930" w:rsidRDefault="00F25CFB" w:rsidP="00F25CFB">
      <w:pPr>
        <w:pStyle w:val="Prrafodelista"/>
        <w:numPr>
          <w:ilvl w:val="0"/>
          <w:numId w:val="10"/>
        </w:numPr>
        <w:spacing w:after="0" w:line="240" w:lineRule="auto"/>
        <w:jc w:val="both"/>
        <w:rPr>
          <w:rFonts w:ascii="Open Sans" w:hAnsi="Open Sans" w:cs="Open Sans"/>
          <w:color w:val="000000"/>
          <w:sz w:val="18"/>
          <w:szCs w:val="18"/>
          <w:shd w:val="clear" w:color="auto" w:fill="FFFFFF"/>
        </w:rPr>
      </w:pPr>
      <w:r w:rsidRPr="000A6930">
        <w:rPr>
          <w:rFonts w:ascii="Open Sans" w:hAnsi="Open Sans" w:cs="Open Sans"/>
          <w:color w:val="000000"/>
          <w:sz w:val="18"/>
          <w:szCs w:val="18"/>
          <w:shd w:val="clear" w:color="auto" w:fill="FFFFFF"/>
        </w:rPr>
        <w:t>Bonificación en la cuota íntegra del Impuesto de los Bienes Inmuebles, que tendrá efectividad a partir de la entrada en vigor de nuevos valores catastrales de Bienes Inmuebles de una misma clase, resultantes de un procedimiento de valoración colectiva.</w:t>
      </w:r>
    </w:p>
    <w:p w:rsidR="00F25CFB" w:rsidRPr="000A6930" w:rsidRDefault="00F25CFB" w:rsidP="00F25CFB">
      <w:pPr>
        <w:pStyle w:val="Prrafodelista"/>
        <w:numPr>
          <w:ilvl w:val="0"/>
          <w:numId w:val="10"/>
        </w:numPr>
        <w:spacing w:after="0" w:line="240" w:lineRule="auto"/>
        <w:jc w:val="both"/>
        <w:rPr>
          <w:rFonts w:ascii="Open Sans" w:hAnsi="Open Sans" w:cs="Open Sans"/>
          <w:color w:val="000000"/>
          <w:sz w:val="18"/>
          <w:szCs w:val="18"/>
          <w:shd w:val="clear" w:color="auto" w:fill="FFFFFF"/>
        </w:rPr>
      </w:pPr>
      <w:r w:rsidRPr="000A6930">
        <w:rPr>
          <w:rFonts w:ascii="Open Sans" w:hAnsi="Open Sans" w:cs="Open Sans"/>
          <w:color w:val="000000"/>
          <w:sz w:val="18"/>
          <w:szCs w:val="18"/>
          <w:shd w:val="clear" w:color="auto" w:fill="FFFFFF"/>
        </w:rPr>
        <w:t xml:space="preserve">Bonificación de hasta el 95% de la cuota íntegra del impuesto, </w:t>
      </w:r>
      <w:r w:rsidRPr="000A6930">
        <w:rPr>
          <w:rFonts w:ascii="Open Sans" w:hAnsi="Open Sans" w:cs="Open Sans"/>
          <w:sz w:val="18"/>
          <w:szCs w:val="18"/>
        </w:rPr>
        <w:t>bienes inmuebles titulares de organismos públicos de investigación y de enseñanza universitaria.</w:t>
      </w:r>
    </w:p>
    <w:p w:rsidR="00F25CFB" w:rsidRPr="00B43736" w:rsidRDefault="00F25CFB" w:rsidP="00F25CFB">
      <w:pPr>
        <w:pStyle w:val="Prrafodelista"/>
        <w:numPr>
          <w:ilvl w:val="0"/>
          <w:numId w:val="10"/>
        </w:numPr>
        <w:spacing w:after="0" w:line="240" w:lineRule="auto"/>
        <w:jc w:val="both"/>
        <w:rPr>
          <w:rFonts w:ascii="Open Sans" w:hAnsi="Open Sans" w:cs="Open Sans"/>
          <w:color w:val="000000"/>
          <w:sz w:val="18"/>
          <w:szCs w:val="18"/>
          <w:shd w:val="clear" w:color="auto" w:fill="FFFFFF"/>
        </w:rPr>
      </w:pPr>
      <w:r w:rsidRPr="000A6930">
        <w:rPr>
          <w:rFonts w:ascii="Open Sans" w:hAnsi="Open Sans" w:cs="Open Sans"/>
          <w:sz w:val="18"/>
          <w:szCs w:val="18"/>
        </w:rPr>
        <w:t>Bonificación de hasta el 95% de la cuota íntegra del impuesto, los bienes inmuebles de uso residencial destinados a alquiler de vivienda con renta limitada por una norma jurídica.</w:t>
      </w:r>
    </w:p>
    <w:p w:rsidR="00F25CFB" w:rsidRPr="00B43736" w:rsidRDefault="00F25CFB" w:rsidP="00F25CFB">
      <w:pPr>
        <w:pStyle w:val="Prrafodelista"/>
        <w:numPr>
          <w:ilvl w:val="0"/>
          <w:numId w:val="10"/>
        </w:numPr>
        <w:spacing w:after="0" w:line="240" w:lineRule="auto"/>
        <w:jc w:val="both"/>
        <w:rPr>
          <w:rFonts w:ascii="Open Sans" w:hAnsi="Open Sans" w:cs="Open Sans"/>
          <w:sz w:val="18"/>
          <w:szCs w:val="18"/>
        </w:rPr>
      </w:pPr>
      <w:r>
        <w:rPr>
          <w:rFonts w:ascii="Open Sans" w:hAnsi="Open Sans" w:cs="Open Sans"/>
          <w:sz w:val="18"/>
          <w:szCs w:val="18"/>
        </w:rPr>
        <w:t xml:space="preserve">Bonificación de hasta el 50% </w:t>
      </w:r>
      <w:r w:rsidRPr="00B43736">
        <w:rPr>
          <w:rFonts w:ascii="Open Sans" w:hAnsi="Open Sans" w:cs="Open Sans"/>
          <w:sz w:val="18"/>
          <w:szCs w:val="18"/>
        </w:rPr>
        <w:t>de la cuota íntegra del impuesto a favor de los bienes inmuebles en los que se hayan instalado puntos de recarga para vehículos eléctricos. La aplicación de esta bonificación estará condicionada a que las instalaciones dispongan de la correspondiente homologación por la Administración competente</w:t>
      </w:r>
      <w:r>
        <w:rPr>
          <w:rFonts w:ascii="Open Sans" w:hAnsi="Open Sans" w:cs="Open Sans"/>
          <w:sz w:val="18"/>
          <w:szCs w:val="18"/>
        </w:rPr>
        <w:t>.</w:t>
      </w:r>
    </w:p>
    <w:p w:rsidR="00F25CFB" w:rsidRPr="000A6930" w:rsidRDefault="00F25CFB" w:rsidP="00F25CFB">
      <w:pPr>
        <w:pStyle w:val="Textonotapie"/>
        <w:rPr>
          <w:rFonts w:ascii="Open Sans" w:hAnsi="Open Sans" w:cs="Open Sans"/>
          <w:sz w:val="18"/>
          <w:szCs w:val="18"/>
        </w:rPr>
      </w:pPr>
    </w:p>
  </w:footnote>
  <w:footnote w:id="22">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 xml:space="preserve">fecha </w:t>
      </w:r>
      <w:r>
        <w:rPr>
          <w:rFonts w:ascii="Open Sans" w:hAnsi="Open Sans" w:cs="Open Sans"/>
          <w:b/>
          <w:sz w:val="18"/>
          <w:szCs w:val="18"/>
        </w:rPr>
        <w:t>publicación en el BOP del acuerdo de delegación de competencias en el OAR</w:t>
      </w:r>
      <w:r w:rsidRPr="000A6930">
        <w:rPr>
          <w:rFonts w:ascii="Open Sans" w:hAnsi="Open Sans" w:cs="Open Sans"/>
          <w:sz w:val="18"/>
          <w:szCs w:val="18"/>
        </w:rPr>
        <w:t>.</w:t>
      </w:r>
    </w:p>
  </w:footnote>
  <w:footnote w:id="23">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celebración del Pleno</w:t>
      </w:r>
      <w:r w:rsidRPr="000A6930">
        <w:rPr>
          <w:rFonts w:ascii="Open Sans" w:hAnsi="Open Sans" w:cs="Open Sans"/>
          <w:sz w:val="18"/>
          <w:szCs w:val="18"/>
        </w:rPr>
        <w:t xml:space="preserve"> por el que se aprueba la presente Ordenanza Fiscal.</w:t>
      </w:r>
    </w:p>
  </w:footnote>
  <w:footnote w:id="24">
    <w:p w:rsidR="00F25CFB" w:rsidRPr="000A6930" w:rsidRDefault="00F25CFB" w:rsidP="00F25CFB">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entrada en vigor</w:t>
      </w:r>
      <w:r w:rsidRPr="000A6930">
        <w:rPr>
          <w:rFonts w:ascii="Open Sans" w:hAnsi="Open Sans" w:cs="Open Sans"/>
          <w:sz w:val="18"/>
          <w:szCs w:val="18"/>
        </w:rPr>
        <w:t xml:space="preserve"> de la presente Ordenanza Fiscal.</w:t>
      </w:r>
    </w:p>
  </w:footnote>
  <w:footnote w:id="25">
    <w:p w:rsidR="00F25CFB" w:rsidRDefault="00F25CFB" w:rsidP="00F25CFB">
      <w:pPr>
        <w:pStyle w:val="Textonotapie"/>
      </w:pPr>
      <w:r>
        <w:rPr>
          <w:rStyle w:val="Refdenotaalpie"/>
        </w:rPr>
        <w:footnoteRef/>
      </w:r>
      <w:r w:rsidRPr="00E83927">
        <w:rPr>
          <w:rFonts w:ascii="Open Sans" w:hAnsi="Open Sans" w:cs="Open Sans"/>
          <w:sz w:val="18"/>
          <w:szCs w:val="18"/>
        </w:rPr>
        <w:t>No obstante, desde el OAR se recomienda que cuando se modifiquen determinados artículos de la Ordenanza Fiscal, se proceda a publicar de nuevo el texto completo de la Ordenanza</w:t>
      </w:r>
      <w:r>
        <w:rPr>
          <w:rFonts w:ascii="Open Sans" w:hAnsi="Open Sans" w:cs="Open Sans"/>
          <w:sz w:val="18"/>
          <w:szCs w:val="18"/>
        </w:rPr>
        <w:t xml:space="preserve"> Fiscal reguladora del tributo</w:t>
      </w:r>
      <w:r w:rsidRPr="00E83927">
        <w:rPr>
          <w:rFonts w:ascii="Open Sans" w:hAnsi="Open Sans" w:cs="Open San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C2" w:rsidRPr="00B364C2" w:rsidRDefault="00B364C2" w:rsidP="00B364C2">
    <w:pPr>
      <w:pStyle w:val="Encabezado"/>
      <w:jc w:val="right"/>
      <w:rPr>
        <w:b/>
        <w:color w:val="7F7F7F" w:themeColor="text1" w:themeTint="80"/>
      </w:rPr>
    </w:pPr>
    <w:r w:rsidRPr="00B364C2">
      <w:rPr>
        <w:noProof/>
        <w:color w:val="7F7F7F" w:themeColor="text1" w:themeTint="80"/>
        <w:lang w:eastAsia="es-ES"/>
      </w:rPr>
      <w:drawing>
        <wp:anchor distT="0" distB="0" distL="114300" distR="114300" simplePos="0" relativeHeight="251658240" behindDoc="1" locked="0" layoutInCell="1" allowOverlap="1">
          <wp:simplePos x="0" y="0"/>
          <wp:positionH relativeFrom="column">
            <wp:posOffset>-70485</wp:posOffset>
          </wp:positionH>
          <wp:positionV relativeFrom="paragraph">
            <wp:posOffset>-268605</wp:posOffset>
          </wp:positionV>
          <wp:extent cx="638175" cy="792217"/>
          <wp:effectExtent l="0" t="0" r="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r.png"/>
                  <pic:cNvPicPr/>
                </pic:nvPicPr>
                <pic:blipFill>
                  <a:blip r:embed="rId1">
                    <a:extLst>
                      <a:ext uri="{28A0092B-C50C-407E-A947-70E740481C1C}">
                        <a14:useLocalDpi xmlns:a14="http://schemas.microsoft.com/office/drawing/2010/main" val="0"/>
                      </a:ext>
                    </a:extLst>
                  </a:blip>
                  <a:stretch>
                    <a:fillRect/>
                  </a:stretch>
                </pic:blipFill>
                <pic:spPr>
                  <a:xfrm>
                    <a:off x="0" y="0"/>
                    <a:ext cx="638175" cy="792217"/>
                  </a:xfrm>
                  <a:prstGeom prst="rect">
                    <a:avLst/>
                  </a:prstGeom>
                </pic:spPr>
              </pic:pic>
            </a:graphicData>
          </a:graphic>
        </wp:anchor>
      </w:drawing>
    </w:r>
    <w:r w:rsidRPr="00B364C2">
      <w:rPr>
        <w:b/>
        <w:color w:val="7F7F7F" w:themeColor="text1" w:themeTint="80"/>
      </w:rPr>
      <w:t xml:space="preserve">MODELO ORDENANZA FISCAL </w:t>
    </w:r>
  </w:p>
  <w:p w:rsidR="00B364C2" w:rsidRPr="00B364C2" w:rsidRDefault="00B364C2" w:rsidP="00B364C2">
    <w:pPr>
      <w:pStyle w:val="Encabezado"/>
      <w:jc w:val="right"/>
      <w:rPr>
        <w:b/>
        <w:color w:val="7F7F7F" w:themeColor="text1" w:themeTint="80"/>
      </w:rPr>
    </w:pPr>
    <w:r w:rsidRPr="00B364C2">
      <w:rPr>
        <w:b/>
        <w:color w:val="7F7F7F" w:themeColor="text1" w:themeTint="80"/>
      </w:rPr>
      <w:t>IMPUESTO SOBRE BIENES INMUEBLES</w:t>
    </w:r>
  </w:p>
  <w:p w:rsidR="00B364C2" w:rsidRDefault="00B364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7AB"/>
    <w:multiLevelType w:val="hybridMultilevel"/>
    <w:tmpl w:val="2FCE5F9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B87338"/>
    <w:multiLevelType w:val="hybridMultilevel"/>
    <w:tmpl w:val="DA56C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A667F1"/>
    <w:multiLevelType w:val="hybridMultilevel"/>
    <w:tmpl w:val="85BE6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653"/>
    <w:multiLevelType w:val="hybridMultilevel"/>
    <w:tmpl w:val="8B001C7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73923CF"/>
    <w:multiLevelType w:val="hybridMultilevel"/>
    <w:tmpl w:val="7156801C"/>
    <w:lvl w:ilvl="0" w:tplc="3B42E3F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CD65D7"/>
    <w:multiLevelType w:val="hybridMultilevel"/>
    <w:tmpl w:val="60564406"/>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D8E10AD"/>
    <w:multiLevelType w:val="hybridMultilevel"/>
    <w:tmpl w:val="CEB6D1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303C10"/>
    <w:multiLevelType w:val="hybridMultilevel"/>
    <w:tmpl w:val="15884120"/>
    <w:lvl w:ilvl="0" w:tplc="64FA2FEC">
      <w:start w:val="4"/>
      <w:numFmt w:val="bullet"/>
      <w:lvlText w:val="-"/>
      <w:lvlJc w:val="left"/>
      <w:pPr>
        <w:ind w:left="1068" w:hanging="360"/>
      </w:pPr>
      <w:rPr>
        <w:rFonts w:ascii="Open Sans" w:eastAsiaTheme="minorHAnsi" w:hAnsi="Open Sans" w:cs="Open Sans" w:hint="default"/>
        <w:color w:val="auto"/>
      </w:rPr>
    </w:lvl>
    <w:lvl w:ilvl="1" w:tplc="0C0A0019">
      <w:start w:val="1"/>
      <w:numFmt w:val="lowerLetter"/>
      <w:lvlText w:val="%2."/>
      <w:lvlJc w:val="left"/>
      <w:pPr>
        <w:ind w:left="1788" w:hanging="360"/>
      </w:pPr>
    </w:lvl>
    <w:lvl w:ilvl="2" w:tplc="C3DED856">
      <w:start w:val="1"/>
      <w:numFmt w:val="lowerLetter"/>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B371517"/>
    <w:multiLevelType w:val="hybridMultilevel"/>
    <w:tmpl w:val="966C3106"/>
    <w:lvl w:ilvl="0" w:tplc="64FA2FEC">
      <w:start w:val="4"/>
      <w:numFmt w:val="bullet"/>
      <w:lvlText w:val="-"/>
      <w:lvlJc w:val="left"/>
      <w:pPr>
        <w:ind w:left="720" w:hanging="360"/>
      </w:pPr>
      <w:rPr>
        <w:rFonts w:ascii="Open Sans" w:eastAsiaTheme="minorHAnsi" w:hAnsi="Open Sans" w:cs="Open San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127B68"/>
    <w:multiLevelType w:val="hybridMultilevel"/>
    <w:tmpl w:val="573C0A82"/>
    <w:lvl w:ilvl="0" w:tplc="82AEECA8">
      <w:start w:val="4"/>
      <w:numFmt w:val="bullet"/>
      <w:lvlText w:val="-"/>
      <w:lvlJc w:val="left"/>
      <w:pPr>
        <w:ind w:left="720" w:hanging="360"/>
      </w:pPr>
      <w:rPr>
        <w:rFonts w:ascii="Arial" w:eastAsiaTheme="minorHAnsi" w:hAnsi="Arial" w:cs="Aria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B1676F1"/>
    <w:multiLevelType w:val="hybridMultilevel"/>
    <w:tmpl w:val="984E6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DD3603"/>
    <w:multiLevelType w:val="hybridMultilevel"/>
    <w:tmpl w:val="2D428DC8"/>
    <w:lvl w:ilvl="0" w:tplc="C7B890C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1933043"/>
    <w:multiLevelType w:val="hybridMultilevel"/>
    <w:tmpl w:val="726622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534005F3"/>
    <w:multiLevelType w:val="hybridMultilevel"/>
    <w:tmpl w:val="E2A8E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1D267C"/>
    <w:multiLevelType w:val="hybridMultilevel"/>
    <w:tmpl w:val="5810B160"/>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63E22CA9"/>
    <w:multiLevelType w:val="hybridMultilevel"/>
    <w:tmpl w:val="BF189BD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06D52"/>
    <w:multiLevelType w:val="hybridMultilevel"/>
    <w:tmpl w:val="49EC5378"/>
    <w:lvl w:ilvl="0" w:tplc="64FA2FEC">
      <w:start w:val="4"/>
      <w:numFmt w:val="bullet"/>
      <w:lvlText w:val="-"/>
      <w:lvlJc w:val="left"/>
      <w:pPr>
        <w:ind w:left="1080" w:hanging="360"/>
      </w:pPr>
      <w:rPr>
        <w:rFonts w:ascii="Open Sans" w:eastAsiaTheme="minorHAnsi" w:hAnsi="Open Sans" w:cs="Open San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FEF62FD"/>
    <w:multiLevelType w:val="hybridMultilevel"/>
    <w:tmpl w:val="880E21D2"/>
    <w:lvl w:ilvl="0" w:tplc="64FA2FEC">
      <w:start w:val="4"/>
      <w:numFmt w:val="bullet"/>
      <w:lvlText w:val="-"/>
      <w:lvlJc w:val="left"/>
      <w:pPr>
        <w:ind w:left="720" w:hanging="360"/>
      </w:pPr>
      <w:rPr>
        <w:rFonts w:ascii="Open Sans" w:eastAsiaTheme="minorHAnsi" w:hAnsi="Open Sans" w:cs="Open Sans" w:hint="default"/>
        <w:color w:val="auto"/>
      </w:rPr>
    </w:lvl>
    <w:lvl w:ilvl="1" w:tplc="82AEECA8">
      <w:start w:val="4"/>
      <w:numFmt w:val="bullet"/>
      <w:lvlText w:val="-"/>
      <w:lvlJc w:val="left"/>
      <w:pPr>
        <w:ind w:left="1440" w:hanging="360"/>
      </w:pPr>
      <w:rPr>
        <w:rFonts w:ascii="Arial" w:eastAsiaTheme="minorHAnsi"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121B43"/>
    <w:multiLevelType w:val="hybridMultilevel"/>
    <w:tmpl w:val="30EE724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7A6A75FF"/>
    <w:multiLevelType w:val="hybridMultilevel"/>
    <w:tmpl w:val="FCCE3066"/>
    <w:lvl w:ilvl="0" w:tplc="0F86E89A">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5"/>
  </w:num>
  <w:num w:numId="5">
    <w:abstractNumId w:val="11"/>
  </w:num>
  <w:num w:numId="6">
    <w:abstractNumId w:val="2"/>
  </w:num>
  <w:num w:numId="7">
    <w:abstractNumId w:val="6"/>
  </w:num>
  <w:num w:numId="8">
    <w:abstractNumId w:val="4"/>
  </w:num>
  <w:num w:numId="9">
    <w:abstractNumId w:val="18"/>
  </w:num>
  <w:num w:numId="10">
    <w:abstractNumId w:val="8"/>
  </w:num>
  <w:num w:numId="11">
    <w:abstractNumId w:val="0"/>
  </w:num>
  <w:num w:numId="12">
    <w:abstractNumId w:val="7"/>
  </w:num>
  <w:num w:numId="13">
    <w:abstractNumId w:val="3"/>
  </w:num>
  <w:num w:numId="14">
    <w:abstractNumId w:val="12"/>
  </w:num>
  <w:num w:numId="15">
    <w:abstractNumId w:val="19"/>
  </w:num>
  <w:num w:numId="16">
    <w:abstractNumId w:val="5"/>
  </w:num>
  <w:num w:numId="17">
    <w:abstractNumId w:val="16"/>
  </w:num>
  <w:num w:numId="18">
    <w:abstractNumId w:val="1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C2"/>
    <w:rsid w:val="00054BDF"/>
    <w:rsid w:val="00074EB0"/>
    <w:rsid w:val="00083C1F"/>
    <w:rsid w:val="00084E0B"/>
    <w:rsid w:val="000B58E9"/>
    <w:rsid w:val="000C4DB3"/>
    <w:rsid w:val="000C6238"/>
    <w:rsid w:val="000C6EE9"/>
    <w:rsid w:val="001530B6"/>
    <w:rsid w:val="00222BF1"/>
    <w:rsid w:val="00376F88"/>
    <w:rsid w:val="003B474D"/>
    <w:rsid w:val="003F727F"/>
    <w:rsid w:val="0041204C"/>
    <w:rsid w:val="004134D8"/>
    <w:rsid w:val="004B2B57"/>
    <w:rsid w:val="004B4DF7"/>
    <w:rsid w:val="004C0970"/>
    <w:rsid w:val="004C60B6"/>
    <w:rsid w:val="00571353"/>
    <w:rsid w:val="00594E07"/>
    <w:rsid w:val="005A3E46"/>
    <w:rsid w:val="005D505D"/>
    <w:rsid w:val="005E0A2A"/>
    <w:rsid w:val="0069578C"/>
    <w:rsid w:val="006A1EC2"/>
    <w:rsid w:val="00744A9A"/>
    <w:rsid w:val="00794734"/>
    <w:rsid w:val="00813685"/>
    <w:rsid w:val="00825D8D"/>
    <w:rsid w:val="00851F89"/>
    <w:rsid w:val="00880DA7"/>
    <w:rsid w:val="00881AF0"/>
    <w:rsid w:val="00884613"/>
    <w:rsid w:val="008A25CF"/>
    <w:rsid w:val="008A3D1A"/>
    <w:rsid w:val="008A5821"/>
    <w:rsid w:val="00927954"/>
    <w:rsid w:val="00957E45"/>
    <w:rsid w:val="00A25D16"/>
    <w:rsid w:val="00A64DFE"/>
    <w:rsid w:val="00B364C2"/>
    <w:rsid w:val="00B402E9"/>
    <w:rsid w:val="00B67926"/>
    <w:rsid w:val="00BC491A"/>
    <w:rsid w:val="00BE2919"/>
    <w:rsid w:val="00C00D97"/>
    <w:rsid w:val="00C15A41"/>
    <w:rsid w:val="00C31CF9"/>
    <w:rsid w:val="00C568C9"/>
    <w:rsid w:val="00C66664"/>
    <w:rsid w:val="00C67F51"/>
    <w:rsid w:val="00CA7703"/>
    <w:rsid w:val="00CF224D"/>
    <w:rsid w:val="00D020A0"/>
    <w:rsid w:val="00D3710F"/>
    <w:rsid w:val="00D4326B"/>
    <w:rsid w:val="00D5067D"/>
    <w:rsid w:val="00DB0B18"/>
    <w:rsid w:val="00E24B28"/>
    <w:rsid w:val="00E61F8B"/>
    <w:rsid w:val="00EE32EA"/>
    <w:rsid w:val="00EF596F"/>
    <w:rsid w:val="00F25CFB"/>
    <w:rsid w:val="00F41F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C2"/>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C2"/>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3EA0-2009-49EE-BF95-A84C4942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6800</Words>
  <Characters>37401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Rocío Sillero Carrasco</dc:creator>
  <cp:lastModifiedBy>Alvaro Reynolds Mathe</cp:lastModifiedBy>
  <cp:revision>2</cp:revision>
  <dcterms:created xsi:type="dcterms:W3CDTF">2023-06-22T10:13:00Z</dcterms:created>
  <dcterms:modified xsi:type="dcterms:W3CDTF">2023-06-22T10:13:00Z</dcterms:modified>
</cp:coreProperties>
</file>