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14F" w:rsidRPr="00DD0331" w:rsidRDefault="00E8214F" w:rsidP="00E8214F">
      <w:pPr>
        <w:pStyle w:val="Ttulo1"/>
        <w:jc w:val="center"/>
        <w:rPr>
          <w:rFonts w:ascii="Open Sans" w:hAnsi="Open Sans" w:cs="Open Sans"/>
          <w:color w:val="C00000"/>
        </w:rPr>
      </w:pPr>
      <w:r w:rsidRPr="00DD0331">
        <w:rPr>
          <w:rFonts w:ascii="Open Sans" w:hAnsi="Open Sans" w:cs="Open Sans"/>
          <w:color w:val="C00000"/>
        </w:rPr>
        <w:t>MODELO ORDENANZA FISCAL REGULADORA DEL IMPUESTO SOBRE VEHÍCULOS DE TRACCIÓN MECÁNICA</w:t>
      </w:r>
    </w:p>
    <w:p w:rsidR="00E8214F" w:rsidRDefault="00E8214F" w:rsidP="00E8214F">
      <w:pPr>
        <w:spacing w:after="0"/>
        <w:jc w:val="both"/>
        <w:rPr>
          <w:rFonts w:ascii="Open Sans" w:eastAsiaTheme="minorEastAsia" w:hAnsi="Open Sans" w:cs="Open Sans"/>
          <w:b/>
          <w:sz w:val="20"/>
          <w:szCs w:val="20"/>
          <w:lang w:eastAsia="es-ES"/>
        </w:rPr>
      </w:pPr>
    </w:p>
    <w:p w:rsidR="00E8214F" w:rsidRPr="00E649A9" w:rsidRDefault="00E8214F" w:rsidP="00E8214F">
      <w:pPr>
        <w:spacing w:after="0"/>
        <w:jc w:val="both"/>
        <w:rPr>
          <w:rFonts w:ascii="Open Sans" w:eastAsiaTheme="minorEastAsia" w:hAnsi="Open Sans" w:cs="Open Sans"/>
          <w:b/>
          <w:lang w:eastAsia="es-ES"/>
        </w:rPr>
      </w:pPr>
      <w:r w:rsidRPr="00E649A9">
        <w:rPr>
          <w:rFonts w:ascii="Open Sans" w:eastAsiaTheme="minorEastAsia" w:hAnsi="Open Sans" w:cs="Open Sans"/>
          <w:b/>
          <w:lang w:eastAsia="es-ES"/>
        </w:rPr>
        <w:t>Artículo 1. NATURALEZA Y FUNDAMENTO.</w:t>
      </w:r>
    </w:p>
    <w:p w:rsidR="00E8214F" w:rsidRPr="00E649A9" w:rsidRDefault="00E8214F" w:rsidP="00E8214F">
      <w:pPr>
        <w:spacing w:after="0"/>
        <w:jc w:val="both"/>
        <w:rPr>
          <w:rFonts w:ascii="Open Sans" w:eastAsiaTheme="minorEastAsia" w:hAnsi="Open Sans" w:cs="Open Sans"/>
          <w:lang w:eastAsia="es-ES"/>
        </w:rPr>
      </w:pPr>
      <w:r w:rsidRPr="00E649A9">
        <w:rPr>
          <w:rFonts w:ascii="Open Sans" w:eastAsiaTheme="minorEastAsia" w:hAnsi="Open Sans" w:cs="Open Sans"/>
          <w:lang w:eastAsia="es-ES"/>
        </w:rPr>
        <w:t>El Impuesto sobre Vehículos de Tracción Mecánica es un tributo directo, establecido con carácter obligatorio en el Texto Refundido de la Ley reguladora de las Haciendas Locales, aprobado por Real Decreto 2/2004, de 5 de marzo, y regulado de conformidad con lo dispuesto en los artículos 92 a 99, ambos inclusive, de dicha disposición, y acorde a la misma, en la presente ordenanza fiscal.</w:t>
      </w:r>
    </w:p>
    <w:p w:rsidR="00E8214F" w:rsidRPr="00E649A9" w:rsidRDefault="00E8214F" w:rsidP="00E8214F">
      <w:pPr>
        <w:spacing w:after="0"/>
        <w:jc w:val="both"/>
        <w:rPr>
          <w:rFonts w:ascii="Open Sans" w:eastAsiaTheme="minorEastAsia" w:hAnsi="Open Sans" w:cs="Open Sans"/>
          <w:lang w:eastAsia="es-ES"/>
        </w:rPr>
      </w:pP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b/>
          <w:color w:val="000000"/>
          <w:lang w:eastAsia="es-ES"/>
        </w:rPr>
        <w:t xml:space="preserve">Artículo 2. HECHO </w:t>
      </w:r>
      <w:r w:rsidRPr="00E649A9">
        <w:rPr>
          <w:rFonts w:ascii="Open Sans" w:eastAsiaTheme="minorEastAsia" w:hAnsi="Open Sans" w:cs="Open Sans"/>
          <w:b/>
          <w:lang w:eastAsia="es-ES"/>
        </w:rPr>
        <w:t>IMPONIBLE Y SUPUESTOS DE NO SUJECIÓN</w:t>
      </w:r>
      <w:r w:rsidRPr="00E649A9">
        <w:rPr>
          <w:rFonts w:ascii="Open Sans" w:eastAsiaTheme="minorEastAsia" w:hAnsi="Open Sans" w:cs="Open Sans"/>
          <w:lang w:eastAsia="es-ES"/>
        </w:rPr>
        <w:t>.</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1. El impuesto sobre Vehículos de Tracción Mecánica</w:t>
      </w:r>
      <w:r w:rsidRPr="00E649A9">
        <w:rPr>
          <w:rFonts w:ascii="Open Sans" w:eastAsiaTheme="minorEastAsia" w:hAnsi="Open Sans" w:cs="Open Sans"/>
          <w:color w:val="9BBB59" w:themeColor="accent3"/>
          <w:lang w:eastAsia="es-ES"/>
        </w:rPr>
        <w:t xml:space="preserve"> </w:t>
      </w:r>
      <w:r w:rsidRPr="00E649A9">
        <w:rPr>
          <w:rFonts w:ascii="Open Sans" w:eastAsiaTheme="minorEastAsia" w:hAnsi="Open Sans" w:cs="Open Sans"/>
          <w:color w:val="000000"/>
          <w:lang w:eastAsia="es-ES"/>
        </w:rPr>
        <w:t>grava la titularidad de los vehículos de esta naturaleza, aptos para circular por las vías públicas, cualesquiera que sean su clase y categoría.</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2. Se considera vehículo apto para la circulación el que hubiera sido matriculado en los Registros públicos correspondientes y mientras no haya causado baja en los mismos. A los efectos de este impuesto también se considerarán aptos los vehículos provistos de permisos temporales y matrícula turística.</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3. No están sujetos al impuesto:</w:t>
      </w:r>
    </w:p>
    <w:p w:rsidR="00E8214F" w:rsidRPr="00E649A9" w:rsidRDefault="00E8214F" w:rsidP="00E8214F">
      <w:pPr>
        <w:pStyle w:val="Prrafodelista"/>
        <w:numPr>
          <w:ilvl w:val="1"/>
          <w:numId w:val="21"/>
        </w:numPr>
        <w:spacing w:after="0"/>
        <w:ind w:left="426"/>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Los vehículos que habiendo sido dados de baja en los registros por antigüedad de su modelo puedan ser autorizados para circular excepcionalmente con motivo de exhibiciones, certámenes o carreras limitadas a los de esta naturaleza.</w:t>
      </w:r>
    </w:p>
    <w:p w:rsidR="00E8214F" w:rsidRPr="00E649A9" w:rsidRDefault="00E8214F" w:rsidP="00E8214F">
      <w:pPr>
        <w:pStyle w:val="Prrafodelista"/>
        <w:numPr>
          <w:ilvl w:val="1"/>
          <w:numId w:val="21"/>
        </w:numPr>
        <w:spacing w:after="0"/>
        <w:ind w:left="426"/>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Los remolques y semirremolques arrastrados por vehículos de tracción mecánica cuya carga útil no sea superior a 750 kg.</w:t>
      </w:r>
    </w:p>
    <w:p w:rsidR="00E8214F" w:rsidRPr="00E649A9" w:rsidRDefault="00E8214F" w:rsidP="00E8214F">
      <w:pPr>
        <w:spacing w:after="0"/>
        <w:ind w:firstLine="284"/>
        <w:jc w:val="both"/>
        <w:rPr>
          <w:rFonts w:ascii="Open Sans" w:eastAsiaTheme="minorEastAsia" w:hAnsi="Open Sans" w:cs="Open Sans"/>
          <w:color w:val="000000"/>
          <w:lang w:eastAsia="es-ES"/>
        </w:rPr>
      </w:pPr>
    </w:p>
    <w:p w:rsidR="00E8214F" w:rsidRPr="00E649A9" w:rsidRDefault="00E8214F" w:rsidP="00E8214F">
      <w:pPr>
        <w:spacing w:after="0"/>
        <w:jc w:val="both"/>
        <w:rPr>
          <w:rFonts w:ascii="Open Sans" w:eastAsiaTheme="minorEastAsia" w:hAnsi="Open Sans" w:cs="Open Sans"/>
          <w:b/>
          <w:color w:val="000000"/>
          <w:lang w:eastAsia="es-ES"/>
        </w:rPr>
      </w:pPr>
      <w:r w:rsidRPr="00E649A9">
        <w:rPr>
          <w:rFonts w:ascii="Open Sans" w:eastAsiaTheme="minorEastAsia" w:hAnsi="Open Sans" w:cs="Open Sans"/>
          <w:b/>
          <w:color w:val="000000"/>
          <w:lang w:eastAsia="es-ES"/>
        </w:rPr>
        <w:t>Artículo 3. EXENCIONES.</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1. Estarán exentos de este impuesto:</w:t>
      </w:r>
    </w:p>
    <w:p w:rsidR="00E8214F" w:rsidRPr="00E649A9" w:rsidRDefault="00E8214F" w:rsidP="00E8214F">
      <w:pPr>
        <w:pStyle w:val="Prrafodelista"/>
        <w:numPr>
          <w:ilvl w:val="0"/>
          <w:numId w:val="22"/>
        </w:numPr>
        <w:spacing w:after="0"/>
        <w:ind w:left="426"/>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 xml:space="preserve">Los vehículos oficiales </w:t>
      </w:r>
      <w:r>
        <w:rPr>
          <w:rFonts w:ascii="Open Sans" w:eastAsiaTheme="minorEastAsia" w:hAnsi="Open Sans" w:cs="Open Sans"/>
          <w:color w:val="000000"/>
          <w:lang w:eastAsia="es-ES"/>
        </w:rPr>
        <w:t>d</w:t>
      </w:r>
      <w:r w:rsidRPr="00E649A9">
        <w:rPr>
          <w:rFonts w:ascii="Open Sans" w:eastAsiaTheme="minorEastAsia" w:hAnsi="Open Sans" w:cs="Open Sans"/>
          <w:color w:val="000000"/>
          <w:lang w:eastAsia="es-ES"/>
        </w:rPr>
        <w:t>el Estado, comunidades autónomas y entidades locales adscritos a la defensa nacional o a la seguridad ciudadana.</w:t>
      </w:r>
    </w:p>
    <w:p w:rsidR="00E8214F" w:rsidRPr="00E649A9" w:rsidRDefault="00E8214F" w:rsidP="00E8214F">
      <w:pPr>
        <w:pStyle w:val="Prrafodelista"/>
        <w:numPr>
          <w:ilvl w:val="0"/>
          <w:numId w:val="22"/>
        </w:numPr>
        <w:spacing w:after="0"/>
        <w:ind w:left="426"/>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Los vehículos de representaciones diplomáticas, oficinas consulares, agentes diplomáticos y funcionarios consulares de carrera acreditados en España, que sean súbditos de los respectivos países, identificados externamente y a condición de reciprocidad en su extensión y grado. Asimismo, los vehículos de los organismos internacionales con sede u oficina en España, y de sus funcionarios o miembros con estatuto diplomático.</w:t>
      </w:r>
    </w:p>
    <w:p w:rsidR="00E8214F" w:rsidRPr="00E649A9" w:rsidRDefault="00E8214F" w:rsidP="00E8214F">
      <w:pPr>
        <w:pStyle w:val="Prrafodelista"/>
        <w:numPr>
          <w:ilvl w:val="0"/>
          <w:numId w:val="22"/>
        </w:numPr>
        <w:spacing w:after="0"/>
        <w:ind w:left="426"/>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lastRenderedPageBreak/>
        <w:t>Los vehículos respecto de los cuales así se derive de lo dispuesto en tratados o convenios internacionales.</w:t>
      </w:r>
    </w:p>
    <w:p w:rsidR="00E8214F" w:rsidRPr="00E649A9" w:rsidRDefault="00E8214F" w:rsidP="00E8214F">
      <w:pPr>
        <w:pStyle w:val="Prrafodelista"/>
        <w:numPr>
          <w:ilvl w:val="0"/>
          <w:numId w:val="22"/>
        </w:numPr>
        <w:spacing w:after="0"/>
        <w:ind w:left="426"/>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Las ambulancias y demás vehículos directamente destinados a la asistencia sanitaria o al traslado de heridos o enfermos.</w:t>
      </w:r>
    </w:p>
    <w:p w:rsidR="00E8214F" w:rsidRPr="00E649A9" w:rsidRDefault="00E8214F" w:rsidP="00E8214F">
      <w:pPr>
        <w:pStyle w:val="Prrafodelista"/>
        <w:numPr>
          <w:ilvl w:val="0"/>
          <w:numId w:val="22"/>
        </w:numPr>
        <w:spacing w:after="0"/>
        <w:ind w:left="426"/>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Los vehículos para personas de movilidad reducida a que se refiere la letra A del anexo II del Reglamento general de vehículos, aprobado por Real Decreto 2822/1998, de 23 de diciembre.</w:t>
      </w:r>
    </w:p>
    <w:p w:rsidR="00E8214F" w:rsidRPr="00E649A9" w:rsidRDefault="00E8214F" w:rsidP="00E8214F">
      <w:pPr>
        <w:spacing w:after="0"/>
        <w:ind w:left="426"/>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Asimismo, están exentos los vehículos matriculados a nombre de discapacitados para su uso exclusivo. Esta exención se aplicará en tanto se mantengan dichas circunstancias, tanto a los vehículos conducidos por personas con discapacidad como a los destinados a su transporte.</w:t>
      </w:r>
    </w:p>
    <w:p w:rsidR="00E8214F" w:rsidRPr="00E649A9" w:rsidRDefault="00E8214F" w:rsidP="00E8214F">
      <w:pPr>
        <w:spacing w:after="0"/>
        <w:ind w:left="426"/>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Las exenciones previstas en los dos párrafos anteriores no resultarán aplicables a los sujetos pasivos beneficiarios de las mismas por más de un vehículo simultáneamente.</w:t>
      </w:r>
    </w:p>
    <w:p w:rsidR="00E8214F" w:rsidRPr="00E649A9" w:rsidRDefault="00E8214F" w:rsidP="00E8214F">
      <w:pPr>
        <w:spacing w:after="0"/>
        <w:ind w:left="426"/>
        <w:jc w:val="both"/>
        <w:rPr>
          <w:rFonts w:ascii="Open Sans" w:eastAsiaTheme="minorEastAsia" w:hAnsi="Open Sans" w:cs="Open Sans"/>
          <w:color w:val="000000" w:themeColor="text1"/>
          <w:lang w:eastAsia="es-ES"/>
        </w:rPr>
      </w:pPr>
      <w:r w:rsidRPr="00E649A9">
        <w:rPr>
          <w:rFonts w:ascii="Open Sans" w:eastAsiaTheme="minorEastAsia" w:hAnsi="Open Sans" w:cs="Open Sans"/>
          <w:color w:val="000000"/>
          <w:lang w:eastAsia="es-ES"/>
        </w:rPr>
        <w:t xml:space="preserve">Asimismo esta exención no resultará aplicable en el caso de comprobarse que el vehículo no es conducido por la </w:t>
      </w:r>
      <w:r w:rsidRPr="00E649A9">
        <w:rPr>
          <w:rFonts w:ascii="Open Sans" w:eastAsiaTheme="minorEastAsia" w:hAnsi="Open Sans" w:cs="Open Sans"/>
          <w:color w:val="000000" w:themeColor="text1"/>
          <w:lang w:eastAsia="es-ES"/>
        </w:rPr>
        <w:t>persona con discapacidad o destinado a su transporte.</w:t>
      </w:r>
    </w:p>
    <w:p w:rsidR="00E8214F" w:rsidRPr="00E649A9" w:rsidRDefault="00E8214F" w:rsidP="00E8214F">
      <w:pPr>
        <w:spacing w:after="0"/>
        <w:ind w:left="426"/>
        <w:jc w:val="both"/>
        <w:rPr>
          <w:rFonts w:ascii="Open Sans" w:eastAsiaTheme="minorEastAsia" w:hAnsi="Open Sans" w:cs="Open Sans"/>
          <w:color w:val="000000" w:themeColor="text1"/>
          <w:lang w:eastAsia="es-ES"/>
        </w:rPr>
      </w:pPr>
      <w:r w:rsidRPr="00E649A9">
        <w:rPr>
          <w:rFonts w:ascii="Open Sans" w:eastAsiaTheme="minorEastAsia" w:hAnsi="Open Sans" w:cs="Open Sans"/>
          <w:color w:val="000000" w:themeColor="text1"/>
          <w:lang w:eastAsia="es-ES"/>
        </w:rPr>
        <w:t>A efectos de lo dispuesto en este párrafo, se considerarán personas con discapacidad quienes tengan esta condición legal en grado igual o superior al 33%.</w:t>
      </w:r>
    </w:p>
    <w:p w:rsidR="00E8214F" w:rsidRPr="00E649A9" w:rsidRDefault="00E8214F" w:rsidP="00E8214F">
      <w:pPr>
        <w:spacing w:after="0"/>
        <w:ind w:left="426"/>
        <w:jc w:val="both"/>
        <w:rPr>
          <w:rFonts w:ascii="Open Sans" w:hAnsi="Open Sans" w:cs="Open Sans"/>
          <w:color w:val="000000" w:themeColor="text1"/>
        </w:rPr>
      </w:pPr>
      <w:r w:rsidRPr="00E649A9">
        <w:rPr>
          <w:rFonts w:ascii="Open Sans" w:eastAsiaTheme="minorEastAsia" w:hAnsi="Open Sans" w:cs="Open Sans"/>
          <w:color w:val="000000" w:themeColor="text1"/>
          <w:lang w:eastAsia="es-ES"/>
        </w:rPr>
        <w:t>Esta bonificación ostenta carácter rogado, y junto a la solicitud de la misma deberá aportarse la siguiente documentación acreditativa:</w:t>
      </w:r>
      <w:r w:rsidRPr="00E649A9">
        <w:rPr>
          <w:rFonts w:ascii="Open Sans" w:hAnsi="Open Sans" w:cs="Open Sans"/>
          <w:color w:val="000000" w:themeColor="text1"/>
        </w:rPr>
        <w:t xml:space="preserve"> </w:t>
      </w:r>
    </w:p>
    <w:p w:rsidR="00E8214F" w:rsidRPr="00E649A9" w:rsidRDefault="00E8214F" w:rsidP="00E8214F">
      <w:pPr>
        <w:pStyle w:val="Prrafodelista"/>
        <w:numPr>
          <w:ilvl w:val="1"/>
          <w:numId w:val="18"/>
        </w:numPr>
        <w:spacing w:after="0"/>
        <w:jc w:val="both"/>
        <w:rPr>
          <w:rFonts w:ascii="Open Sans" w:eastAsiaTheme="minorEastAsia" w:hAnsi="Open Sans" w:cs="Open Sans"/>
          <w:color w:val="000000" w:themeColor="text1"/>
          <w:lang w:eastAsia="es-ES"/>
        </w:rPr>
      </w:pPr>
      <w:r w:rsidRPr="00E649A9">
        <w:rPr>
          <w:rFonts w:ascii="Open Sans" w:eastAsiaTheme="minorEastAsia" w:hAnsi="Open Sans" w:cs="Open Sans"/>
          <w:color w:val="000000" w:themeColor="text1"/>
          <w:lang w:eastAsia="es-ES"/>
        </w:rPr>
        <w:t>Permiso de circulación.</w:t>
      </w:r>
    </w:p>
    <w:p w:rsidR="00E8214F" w:rsidRPr="00E649A9" w:rsidRDefault="00E8214F" w:rsidP="00E8214F">
      <w:pPr>
        <w:pStyle w:val="Prrafodelista"/>
        <w:numPr>
          <w:ilvl w:val="1"/>
          <w:numId w:val="18"/>
        </w:numPr>
        <w:spacing w:after="0"/>
        <w:jc w:val="both"/>
        <w:rPr>
          <w:rFonts w:ascii="Open Sans" w:eastAsiaTheme="minorEastAsia" w:hAnsi="Open Sans" w:cs="Open Sans"/>
          <w:color w:val="000000" w:themeColor="text1"/>
          <w:lang w:eastAsia="es-ES"/>
        </w:rPr>
      </w:pPr>
      <w:r w:rsidRPr="00E649A9">
        <w:rPr>
          <w:rFonts w:ascii="Open Sans" w:eastAsiaTheme="minorEastAsia" w:hAnsi="Open Sans" w:cs="Open Sans"/>
          <w:color w:val="000000" w:themeColor="text1"/>
          <w:lang w:eastAsia="es-ES"/>
        </w:rPr>
        <w:t>Certificado de características técnicas del vehículo.</w:t>
      </w:r>
    </w:p>
    <w:p w:rsidR="00E8214F" w:rsidRPr="00E649A9" w:rsidRDefault="00E8214F" w:rsidP="00E8214F">
      <w:pPr>
        <w:pStyle w:val="Prrafodelista"/>
        <w:numPr>
          <w:ilvl w:val="1"/>
          <w:numId w:val="18"/>
        </w:numPr>
        <w:spacing w:after="0"/>
        <w:jc w:val="both"/>
        <w:rPr>
          <w:rFonts w:ascii="Open Sans" w:eastAsiaTheme="minorEastAsia" w:hAnsi="Open Sans" w:cs="Open Sans"/>
          <w:color w:val="000000" w:themeColor="text1"/>
          <w:lang w:eastAsia="es-ES"/>
        </w:rPr>
      </w:pPr>
      <w:r w:rsidRPr="00E649A9">
        <w:rPr>
          <w:rFonts w:ascii="Open Sans" w:eastAsiaTheme="minorEastAsia" w:hAnsi="Open Sans" w:cs="Open Sans"/>
          <w:color w:val="000000" w:themeColor="text1"/>
          <w:lang w:eastAsia="es-ES"/>
        </w:rPr>
        <w:t xml:space="preserve">Declaración administrativa emitida por el Centro de Atención a la Discapacidad de Extremadura (CADEX), mediante la que se declare el grado de discapacidad y la fecha de </w:t>
      </w:r>
      <w:r>
        <w:rPr>
          <w:rFonts w:ascii="Open Sans" w:eastAsiaTheme="minorEastAsia" w:hAnsi="Open Sans" w:cs="Open Sans"/>
          <w:color w:val="000000" w:themeColor="text1"/>
          <w:lang w:eastAsia="es-ES"/>
        </w:rPr>
        <w:t>reconocimiento</w:t>
      </w:r>
      <w:r w:rsidRPr="00E649A9">
        <w:rPr>
          <w:rFonts w:ascii="Open Sans" w:eastAsiaTheme="minorEastAsia" w:hAnsi="Open Sans" w:cs="Open Sans"/>
          <w:color w:val="000000" w:themeColor="text1"/>
          <w:lang w:eastAsia="es-ES"/>
        </w:rPr>
        <w:t xml:space="preserve"> de la misma.</w:t>
      </w:r>
    </w:p>
    <w:p w:rsidR="00E8214F" w:rsidRPr="00E649A9" w:rsidRDefault="00E8214F" w:rsidP="00E8214F">
      <w:pPr>
        <w:spacing w:after="0"/>
        <w:ind w:left="360"/>
        <w:jc w:val="both"/>
        <w:rPr>
          <w:rFonts w:ascii="Open Sans" w:eastAsiaTheme="minorEastAsia" w:hAnsi="Open Sans" w:cs="Open Sans"/>
          <w:color w:val="000000" w:themeColor="text1"/>
          <w:lang w:eastAsia="es-ES"/>
        </w:rPr>
      </w:pPr>
      <w:r w:rsidRPr="00E649A9">
        <w:rPr>
          <w:rFonts w:ascii="Open Sans" w:eastAsiaTheme="minorEastAsia" w:hAnsi="Open Sans" w:cs="Open Sans"/>
          <w:color w:val="000000" w:themeColor="text1"/>
          <w:lang w:eastAsia="es-ES"/>
        </w:rPr>
        <w:t>La concesión de esta exención surte efectos para el periodo impositivo siguiente al de la presentación de su solicitud. No obstante, cuando el beneficio fiscal sea solicitado antes de</w:t>
      </w:r>
      <w:r>
        <w:rPr>
          <w:rFonts w:ascii="Open Sans" w:eastAsiaTheme="minorEastAsia" w:hAnsi="Open Sans" w:cs="Open Sans"/>
          <w:color w:val="000000" w:themeColor="text1"/>
          <w:lang w:eastAsia="es-ES"/>
        </w:rPr>
        <w:t>l 31 de enero</w:t>
      </w:r>
      <w:r w:rsidRPr="00E649A9">
        <w:rPr>
          <w:rFonts w:ascii="Open Sans" w:eastAsiaTheme="minorEastAsia" w:hAnsi="Open Sans" w:cs="Open Sans"/>
          <w:color w:val="000000" w:themeColor="text1"/>
          <w:lang w:eastAsia="es-ES"/>
        </w:rPr>
        <w:t>, será concedido para el periodo impositivo en curso, siempre que a la fecha del devengo del tributo concurran los requisitos exigidos para su disfrute.</w:t>
      </w:r>
    </w:p>
    <w:p w:rsidR="00E8214F" w:rsidRPr="00E649A9" w:rsidRDefault="00E8214F" w:rsidP="00E8214F">
      <w:pPr>
        <w:pStyle w:val="Prrafodelista"/>
        <w:numPr>
          <w:ilvl w:val="0"/>
          <w:numId w:val="22"/>
        </w:numPr>
        <w:spacing w:after="0"/>
        <w:ind w:left="426"/>
        <w:jc w:val="both"/>
        <w:rPr>
          <w:rFonts w:ascii="Open Sans" w:eastAsiaTheme="minorEastAsia" w:hAnsi="Open Sans" w:cs="Open Sans"/>
          <w:color w:val="000000" w:themeColor="text1"/>
          <w:lang w:eastAsia="es-ES"/>
        </w:rPr>
      </w:pPr>
      <w:r w:rsidRPr="00E649A9">
        <w:rPr>
          <w:rFonts w:ascii="Open Sans" w:eastAsiaTheme="minorEastAsia" w:hAnsi="Open Sans" w:cs="Open Sans"/>
          <w:color w:val="000000" w:themeColor="text1"/>
          <w:lang w:eastAsia="es-ES"/>
        </w:rPr>
        <w:t>Los autobuses, microbuses y demás vehículos destinados o adscritos al servicio de transporte público urbano, siempre que tengan una capacidad que exceda de nueve plazas, incluida la del conductor.</w:t>
      </w:r>
    </w:p>
    <w:p w:rsidR="00E8214F" w:rsidRPr="00E649A9" w:rsidRDefault="00E8214F" w:rsidP="00E8214F">
      <w:pPr>
        <w:pStyle w:val="Prrafodelista"/>
        <w:numPr>
          <w:ilvl w:val="0"/>
          <w:numId w:val="22"/>
        </w:numPr>
        <w:spacing w:after="0"/>
        <w:ind w:left="426"/>
        <w:jc w:val="both"/>
        <w:rPr>
          <w:rFonts w:ascii="Open Sans" w:eastAsiaTheme="minorEastAsia" w:hAnsi="Open Sans" w:cs="Open Sans"/>
          <w:color w:val="000000" w:themeColor="text1"/>
          <w:lang w:eastAsia="es-ES"/>
        </w:rPr>
      </w:pPr>
      <w:r w:rsidRPr="00E649A9">
        <w:rPr>
          <w:rFonts w:ascii="Open Sans" w:eastAsiaTheme="minorEastAsia" w:hAnsi="Open Sans" w:cs="Open Sans"/>
          <w:color w:val="000000" w:themeColor="text1"/>
          <w:lang w:eastAsia="es-ES"/>
        </w:rPr>
        <w:t xml:space="preserve">Los tractores, remolques, semirremolques y maquinaria provistos de la cartilla de inspección agrícola. Esta exención, se aplicará de oficio cuando ostente la calificación de “Vehículo para uso agrícola”. Dicha clasificación vendrá </w:t>
      </w:r>
      <w:r w:rsidRPr="00E649A9">
        <w:rPr>
          <w:rFonts w:ascii="Open Sans" w:eastAsiaTheme="minorEastAsia" w:hAnsi="Open Sans" w:cs="Open Sans"/>
          <w:color w:val="000000" w:themeColor="text1"/>
          <w:lang w:eastAsia="es-ES"/>
        </w:rPr>
        <w:lastRenderedPageBreak/>
        <w:t>otorgada por la inscripción en el registro de maquinaria agrícola de la Administración competente.</w:t>
      </w:r>
    </w:p>
    <w:p w:rsidR="00E8214F" w:rsidRPr="00E649A9" w:rsidRDefault="00E8214F" w:rsidP="00E8214F">
      <w:pPr>
        <w:pStyle w:val="Prrafodelista"/>
        <w:spacing w:after="0"/>
        <w:ind w:left="426"/>
        <w:jc w:val="both"/>
        <w:rPr>
          <w:rFonts w:ascii="Open Sans" w:eastAsiaTheme="minorEastAsia" w:hAnsi="Open Sans" w:cs="Open Sans"/>
          <w:color w:val="000000"/>
          <w:lang w:eastAsia="es-ES"/>
        </w:rPr>
      </w:pPr>
    </w:p>
    <w:p w:rsidR="00E8214F" w:rsidRPr="00E649A9" w:rsidRDefault="00E8214F" w:rsidP="00E8214F">
      <w:pPr>
        <w:spacing w:after="0"/>
        <w:jc w:val="both"/>
        <w:rPr>
          <w:rFonts w:ascii="Open Sans" w:eastAsiaTheme="minorEastAsia" w:hAnsi="Open Sans" w:cs="Open Sans"/>
          <w:b/>
          <w:color w:val="000000"/>
          <w:lang w:eastAsia="es-ES"/>
        </w:rPr>
      </w:pPr>
      <w:r w:rsidRPr="00E649A9">
        <w:rPr>
          <w:rFonts w:ascii="Open Sans" w:eastAsiaTheme="minorEastAsia" w:hAnsi="Open Sans" w:cs="Open Sans"/>
          <w:b/>
          <w:color w:val="000000"/>
          <w:lang w:eastAsia="es-ES"/>
        </w:rPr>
        <w:t>Artículo 4. SUJETOS PASIVOS.</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Son sujetos pasivos de este impuesto las personas físicas o jurídicas y las entidades a que se refiere el artículo 35 de la Ley General Tributaria, a cuyo nombre conste el vehículo en el permiso de circulación.</w:t>
      </w:r>
    </w:p>
    <w:p w:rsidR="00E8214F" w:rsidRPr="00E649A9" w:rsidRDefault="00E8214F" w:rsidP="00E8214F">
      <w:pPr>
        <w:spacing w:after="0"/>
        <w:jc w:val="both"/>
        <w:rPr>
          <w:rFonts w:ascii="Open Sans" w:eastAsiaTheme="minorEastAsia" w:hAnsi="Open Sans" w:cs="Open Sans"/>
          <w:b/>
          <w:color w:val="000000"/>
          <w:lang w:eastAsia="es-ES"/>
        </w:rPr>
      </w:pPr>
    </w:p>
    <w:p w:rsidR="00E8214F" w:rsidRPr="00E649A9" w:rsidRDefault="00E8214F" w:rsidP="00E8214F">
      <w:pPr>
        <w:spacing w:after="0"/>
        <w:jc w:val="both"/>
        <w:rPr>
          <w:rFonts w:ascii="Open Sans" w:eastAsiaTheme="minorEastAsia" w:hAnsi="Open Sans" w:cs="Open Sans"/>
          <w:b/>
          <w:color w:val="000000"/>
          <w:lang w:eastAsia="es-ES"/>
        </w:rPr>
      </w:pPr>
      <w:r w:rsidRPr="00E649A9">
        <w:rPr>
          <w:rFonts w:ascii="Open Sans" w:eastAsiaTheme="minorEastAsia" w:hAnsi="Open Sans" w:cs="Open Sans"/>
          <w:b/>
          <w:color w:val="000000"/>
          <w:lang w:eastAsia="es-ES"/>
        </w:rPr>
        <w:t>Artículo 5. CUOTA TRIBUTARIA.</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 xml:space="preserve">1. De acuerdo con lo preceptuado en el artículo 95.4 del Real Decreto Legislativo 2/2004, de 5 de marzo del Texto Refundido de la Ley Reguladora de las Haciendas Locales, sobre las cuotas de tarifa señaladas en el cuadro del artículo 95.1 se </w:t>
      </w:r>
      <w:r w:rsidRPr="00E649A9">
        <w:rPr>
          <w:rFonts w:ascii="Open Sans" w:eastAsiaTheme="minorEastAsia" w:hAnsi="Open Sans" w:cs="Open Sans"/>
          <w:lang w:eastAsia="es-ES"/>
        </w:rPr>
        <w:t>aplicará/n el/los siguiente/s coeficiente/s de incremento:</w:t>
      </w:r>
    </w:p>
    <w:tbl>
      <w:tblPr>
        <w:tblW w:w="8609" w:type="dxa"/>
        <w:jc w:val="center"/>
        <w:tblInd w:w="55" w:type="dxa"/>
        <w:tblCellMar>
          <w:left w:w="70" w:type="dxa"/>
          <w:right w:w="70" w:type="dxa"/>
        </w:tblCellMar>
        <w:tblLook w:val="04A0" w:firstRow="1" w:lastRow="0" w:firstColumn="1" w:lastColumn="0" w:noHBand="0" w:noVBand="1"/>
      </w:tblPr>
      <w:tblGrid>
        <w:gridCol w:w="1877"/>
        <w:gridCol w:w="2693"/>
        <w:gridCol w:w="1507"/>
        <w:gridCol w:w="1223"/>
        <w:gridCol w:w="1390"/>
      </w:tblGrid>
      <w:tr w:rsidR="00E8214F" w:rsidRPr="00E649A9" w:rsidTr="00A62D95">
        <w:trPr>
          <w:trHeight w:val="499"/>
          <w:jc w:val="center"/>
        </w:trPr>
        <w:tc>
          <w:tcPr>
            <w:tcW w:w="1877" w:type="dxa"/>
            <w:tcBorders>
              <w:top w:val="nil"/>
              <w:left w:val="nil"/>
              <w:bottom w:val="nil"/>
              <w:right w:val="nil"/>
            </w:tcBorders>
            <w:shd w:val="clear" w:color="000000" w:fill="969696"/>
            <w:noWrap/>
            <w:vAlign w:val="center"/>
            <w:hideMark/>
          </w:tcPr>
          <w:p w:rsidR="00E8214F" w:rsidRPr="00E649A9" w:rsidRDefault="00E8214F" w:rsidP="00A62D95">
            <w:pPr>
              <w:spacing w:after="0" w:line="240" w:lineRule="auto"/>
              <w:jc w:val="center"/>
              <w:rPr>
                <w:rFonts w:ascii="Open Sans" w:eastAsia="Times New Roman" w:hAnsi="Open Sans" w:cs="Open Sans"/>
                <w:b/>
                <w:bCs/>
                <w:sz w:val="18"/>
                <w:lang w:eastAsia="es-ES"/>
              </w:rPr>
            </w:pPr>
            <w:r w:rsidRPr="00E649A9">
              <w:rPr>
                <w:rFonts w:ascii="Open Sans" w:eastAsia="Times New Roman" w:hAnsi="Open Sans" w:cs="Open Sans"/>
                <w:b/>
                <w:bCs/>
                <w:sz w:val="18"/>
                <w:lang w:eastAsia="es-ES"/>
              </w:rPr>
              <w:t>Clase</w:t>
            </w:r>
          </w:p>
        </w:tc>
        <w:tc>
          <w:tcPr>
            <w:tcW w:w="2693" w:type="dxa"/>
            <w:tcBorders>
              <w:top w:val="nil"/>
              <w:left w:val="nil"/>
              <w:bottom w:val="nil"/>
              <w:right w:val="nil"/>
            </w:tcBorders>
            <w:shd w:val="clear" w:color="000000" w:fill="969696"/>
            <w:noWrap/>
            <w:vAlign w:val="center"/>
            <w:hideMark/>
          </w:tcPr>
          <w:p w:rsidR="00E8214F" w:rsidRPr="00E649A9" w:rsidRDefault="00E8214F" w:rsidP="00A62D95">
            <w:pPr>
              <w:spacing w:after="0" w:line="240" w:lineRule="auto"/>
              <w:jc w:val="center"/>
              <w:rPr>
                <w:rFonts w:ascii="Open Sans" w:eastAsia="Times New Roman" w:hAnsi="Open Sans" w:cs="Open Sans"/>
                <w:b/>
                <w:bCs/>
                <w:sz w:val="18"/>
                <w:lang w:eastAsia="es-ES"/>
              </w:rPr>
            </w:pPr>
            <w:r w:rsidRPr="00E649A9">
              <w:rPr>
                <w:rFonts w:ascii="Open Sans" w:eastAsia="Times New Roman" w:hAnsi="Open Sans" w:cs="Open Sans"/>
                <w:b/>
                <w:bCs/>
                <w:sz w:val="18"/>
                <w:lang w:eastAsia="es-ES"/>
              </w:rPr>
              <w:t>Categoría</w:t>
            </w:r>
          </w:p>
        </w:tc>
        <w:tc>
          <w:tcPr>
            <w:tcW w:w="1507" w:type="dxa"/>
            <w:tcBorders>
              <w:top w:val="nil"/>
              <w:left w:val="nil"/>
              <w:bottom w:val="nil"/>
              <w:right w:val="nil"/>
            </w:tcBorders>
            <w:shd w:val="clear" w:color="000000" w:fill="969696"/>
            <w:noWrap/>
            <w:vAlign w:val="center"/>
            <w:hideMark/>
          </w:tcPr>
          <w:p w:rsidR="00E8214F" w:rsidRPr="00E649A9" w:rsidRDefault="00E8214F" w:rsidP="00A62D95">
            <w:pPr>
              <w:spacing w:after="0" w:line="240" w:lineRule="auto"/>
              <w:jc w:val="center"/>
              <w:rPr>
                <w:rFonts w:ascii="Open Sans" w:eastAsia="Times New Roman" w:hAnsi="Open Sans" w:cs="Open Sans"/>
                <w:b/>
                <w:bCs/>
                <w:sz w:val="18"/>
                <w:lang w:eastAsia="es-ES"/>
              </w:rPr>
            </w:pPr>
            <w:r w:rsidRPr="00E649A9">
              <w:rPr>
                <w:rFonts w:ascii="Open Sans" w:eastAsia="Times New Roman" w:hAnsi="Open Sans" w:cs="Open Sans"/>
                <w:b/>
                <w:bCs/>
                <w:sz w:val="18"/>
                <w:lang w:eastAsia="es-ES"/>
              </w:rPr>
              <w:t>Importe General (€)</w:t>
            </w:r>
          </w:p>
        </w:tc>
        <w:tc>
          <w:tcPr>
            <w:tcW w:w="1142" w:type="dxa"/>
            <w:tcBorders>
              <w:top w:val="nil"/>
              <w:left w:val="nil"/>
              <w:bottom w:val="nil"/>
              <w:right w:val="nil"/>
            </w:tcBorders>
            <w:shd w:val="clear" w:color="000000" w:fill="969696"/>
            <w:noWrap/>
            <w:vAlign w:val="center"/>
            <w:hideMark/>
          </w:tcPr>
          <w:p w:rsidR="00E8214F" w:rsidRPr="00E649A9" w:rsidRDefault="00E8214F" w:rsidP="00A62D95">
            <w:pPr>
              <w:spacing w:after="0" w:line="240" w:lineRule="auto"/>
              <w:jc w:val="center"/>
              <w:rPr>
                <w:rFonts w:ascii="Open Sans" w:eastAsia="Times New Roman" w:hAnsi="Open Sans" w:cs="Open Sans"/>
                <w:b/>
                <w:bCs/>
                <w:sz w:val="18"/>
                <w:lang w:eastAsia="es-ES"/>
              </w:rPr>
            </w:pPr>
            <w:r w:rsidRPr="00E649A9">
              <w:rPr>
                <w:rFonts w:ascii="Open Sans" w:eastAsia="Times New Roman" w:hAnsi="Open Sans" w:cs="Open Sans"/>
                <w:b/>
                <w:bCs/>
                <w:sz w:val="18"/>
                <w:lang w:eastAsia="es-ES"/>
              </w:rPr>
              <w:t>Coeficiente</w:t>
            </w:r>
            <w:r w:rsidRPr="00E649A9">
              <w:rPr>
                <w:rStyle w:val="Refdenotaalpie"/>
                <w:rFonts w:ascii="Open Sans" w:eastAsia="Times New Roman" w:hAnsi="Open Sans" w:cs="Open Sans"/>
                <w:b/>
                <w:bCs/>
                <w:sz w:val="18"/>
                <w:lang w:eastAsia="es-ES"/>
              </w:rPr>
              <w:footnoteReference w:id="1"/>
            </w:r>
          </w:p>
        </w:tc>
        <w:tc>
          <w:tcPr>
            <w:tcW w:w="1390" w:type="dxa"/>
            <w:tcBorders>
              <w:top w:val="nil"/>
              <w:left w:val="nil"/>
              <w:bottom w:val="nil"/>
              <w:right w:val="nil"/>
            </w:tcBorders>
            <w:shd w:val="clear" w:color="000000" w:fill="969696"/>
            <w:noWrap/>
            <w:vAlign w:val="center"/>
            <w:hideMark/>
          </w:tcPr>
          <w:p w:rsidR="00E8214F" w:rsidRPr="00E649A9" w:rsidRDefault="00E8214F" w:rsidP="00A62D95">
            <w:pPr>
              <w:spacing w:after="0" w:line="240" w:lineRule="auto"/>
              <w:jc w:val="center"/>
              <w:rPr>
                <w:rFonts w:ascii="Open Sans" w:eastAsia="Times New Roman" w:hAnsi="Open Sans" w:cs="Open Sans"/>
                <w:b/>
                <w:bCs/>
                <w:sz w:val="18"/>
                <w:lang w:eastAsia="es-ES"/>
              </w:rPr>
            </w:pPr>
            <w:r w:rsidRPr="00E649A9">
              <w:rPr>
                <w:rFonts w:ascii="Open Sans" w:eastAsia="Times New Roman" w:hAnsi="Open Sans" w:cs="Open Sans"/>
                <w:b/>
                <w:bCs/>
                <w:sz w:val="18"/>
                <w:lang w:eastAsia="es-ES"/>
              </w:rPr>
              <w:t>Importe Actual (€)</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Turismos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 xml:space="preserve">De menos de 8 </w:t>
            </w:r>
            <w:r>
              <w:rPr>
                <w:rFonts w:ascii="Open Sans" w:eastAsia="Times New Roman" w:hAnsi="Open Sans" w:cs="Open Sans"/>
                <w:sz w:val="18"/>
                <w:lang w:eastAsia="es-ES"/>
              </w:rPr>
              <w:t>CF</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12,62</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Turismos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 xml:space="preserve">De 8 a 11,99 </w:t>
            </w:r>
            <w:r>
              <w:rPr>
                <w:rFonts w:ascii="Open Sans" w:eastAsia="Times New Roman" w:hAnsi="Open Sans" w:cs="Open Sans"/>
                <w:sz w:val="18"/>
                <w:lang w:eastAsia="es-ES"/>
              </w:rPr>
              <w:t>CF</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34,08</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Turismos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 xml:space="preserve">De 12 a 15,99 </w:t>
            </w:r>
            <w:r>
              <w:rPr>
                <w:rFonts w:ascii="Open Sans" w:eastAsia="Times New Roman" w:hAnsi="Open Sans" w:cs="Open Sans"/>
                <w:sz w:val="18"/>
                <w:lang w:eastAsia="es-ES"/>
              </w:rPr>
              <w:t>CF</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71,94</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Turismos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 xml:space="preserve">De 16 a 19,99 </w:t>
            </w:r>
            <w:r>
              <w:rPr>
                <w:rFonts w:ascii="Open Sans" w:eastAsia="Times New Roman" w:hAnsi="Open Sans" w:cs="Open Sans"/>
                <w:sz w:val="18"/>
                <w:lang w:eastAsia="es-ES"/>
              </w:rPr>
              <w:t>CF</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89,61</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Turismos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 xml:space="preserve">De 20 </w:t>
            </w:r>
            <w:r>
              <w:rPr>
                <w:rFonts w:ascii="Open Sans" w:eastAsia="Times New Roman" w:hAnsi="Open Sans" w:cs="Open Sans"/>
                <w:sz w:val="18"/>
                <w:lang w:eastAsia="es-ES"/>
              </w:rPr>
              <w:t>CF</w:t>
            </w:r>
            <w:r w:rsidRPr="00E649A9">
              <w:rPr>
                <w:rFonts w:ascii="Open Sans" w:eastAsia="Times New Roman" w:hAnsi="Open Sans" w:cs="Open Sans"/>
                <w:sz w:val="18"/>
                <w:lang w:eastAsia="es-ES"/>
              </w:rPr>
              <w:t xml:space="preserve"> en adelante</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112</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Autobuses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menos de 21 plazas</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83,3</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Autobuses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21 a 50 plazas</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118,64</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Autobuses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más de 50 plazas</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148,3</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Camiones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menos de 1.000 Kg</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42,28</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Camiones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1.000 a 2.999 Kg</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83,3</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Camiones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más de 2.999 a 9.999 Kg</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118,64</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Camiones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más de 9.999 Kg</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148,3</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Tractores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 xml:space="preserve">De menos de 16 </w:t>
            </w:r>
            <w:r>
              <w:rPr>
                <w:rFonts w:ascii="Open Sans" w:eastAsia="Times New Roman" w:hAnsi="Open Sans" w:cs="Open Sans"/>
                <w:sz w:val="18"/>
                <w:lang w:eastAsia="es-ES"/>
              </w:rPr>
              <w:t>CF</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17,67</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Tractores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 xml:space="preserve">De 16 a 25 </w:t>
            </w:r>
            <w:r>
              <w:rPr>
                <w:rFonts w:ascii="Open Sans" w:eastAsia="Times New Roman" w:hAnsi="Open Sans" w:cs="Open Sans"/>
                <w:sz w:val="18"/>
                <w:lang w:eastAsia="es-ES"/>
              </w:rPr>
              <w:t>CF</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27,77</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Tractores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 xml:space="preserve">De más de 25 </w:t>
            </w:r>
            <w:r>
              <w:rPr>
                <w:rFonts w:ascii="Open Sans" w:eastAsia="Times New Roman" w:hAnsi="Open Sans" w:cs="Open Sans"/>
                <w:sz w:val="18"/>
                <w:lang w:eastAsia="es-ES"/>
              </w:rPr>
              <w:t>CF</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83,3</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 xml:space="preserve">Remolques y </w:t>
            </w:r>
            <w:proofErr w:type="spellStart"/>
            <w:r w:rsidRPr="00E649A9">
              <w:rPr>
                <w:rFonts w:ascii="Open Sans" w:eastAsia="Times New Roman" w:hAnsi="Open Sans" w:cs="Open Sans"/>
                <w:sz w:val="18"/>
                <w:lang w:eastAsia="es-ES"/>
              </w:rPr>
              <w:t>semir</w:t>
            </w:r>
            <w:proofErr w:type="spellEnd"/>
            <w:r w:rsidRPr="00E649A9">
              <w:rPr>
                <w:rFonts w:ascii="Open Sans" w:eastAsia="Times New Roman" w:hAnsi="Open Sans" w:cs="Open Sans"/>
                <w:sz w:val="18"/>
                <w:lang w:eastAsia="es-ES"/>
              </w:rPr>
              <w:t>.</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0 a 750 Kg</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0</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 xml:space="preserve">Remolques y </w:t>
            </w:r>
            <w:proofErr w:type="spellStart"/>
            <w:r w:rsidRPr="00E649A9">
              <w:rPr>
                <w:rFonts w:ascii="Open Sans" w:eastAsia="Times New Roman" w:hAnsi="Open Sans" w:cs="Open Sans"/>
                <w:sz w:val="18"/>
                <w:lang w:eastAsia="es-ES"/>
              </w:rPr>
              <w:t>semir</w:t>
            </w:r>
            <w:proofErr w:type="spellEnd"/>
            <w:r w:rsidRPr="00E649A9">
              <w:rPr>
                <w:rFonts w:ascii="Open Sans" w:eastAsia="Times New Roman" w:hAnsi="Open Sans" w:cs="Open Sans"/>
                <w:sz w:val="18"/>
                <w:lang w:eastAsia="es-ES"/>
              </w:rPr>
              <w:t>.</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750,01 a 999 Kg</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17,67</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 xml:space="preserve">Remolques y </w:t>
            </w:r>
            <w:proofErr w:type="spellStart"/>
            <w:r w:rsidRPr="00E649A9">
              <w:rPr>
                <w:rFonts w:ascii="Open Sans" w:eastAsia="Times New Roman" w:hAnsi="Open Sans" w:cs="Open Sans"/>
                <w:sz w:val="18"/>
                <w:lang w:eastAsia="es-ES"/>
              </w:rPr>
              <w:t>semir</w:t>
            </w:r>
            <w:proofErr w:type="spellEnd"/>
            <w:r w:rsidRPr="00E649A9">
              <w:rPr>
                <w:rFonts w:ascii="Open Sans" w:eastAsia="Times New Roman" w:hAnsi="Open Sans" w:cs="Open Sans"/>
                <w:sz w:val="18"/>
                <w:lang w:eastAsia="es-ES"/>
              </w:rPr>
              <w:t>.</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1.000 a 2.999 Kg</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27,77</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 xml:space="preserve">Remolques y </w:t>
            </w:r>
            <w:proofErr w:type="spellStart"/>
            <w:r w:rsidRPr="00E649A9">
              <w:rPr>
                <w:rFonts w:ascii="Open Sans" w:eastAsia="Times New Roman" w:hAnsi="Open Sans" w:cs="Open Sans"/>
                <w:sz w:val="18"/>
                <w:lang w:eastAsia="es-ES"/>
              </w:rPr>
              <w:t>semir</w:t>
            </w:r>
            <w:proofErr w:type="spellEnd"/>
            <w:r w:rsidRPr="00E649A9">
              <w:rPr>
                <w:rFonts w:ascii="Open Sans" w:eastAsia="Times New Roman" w:hAnsi="Open Sans" w:cs="Open Sans"/>
                <w:sz w:val="18"/>
                <w:lang w:eastAsia="es-ES"/>
              </w:rPr>
              <w:t>.</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más de 2.999 Kg</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83,3</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Motocicletas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Ciclomotores</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4,42</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Motocicletas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hasta 125 CC</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4,42</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Motocicletas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más de 125 a 250 CC</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7,57</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Motocicletas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más de 250 a 500 CC</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15,15</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Motocicletas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De más de 500 a 1000 CC</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30,29</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r w:rsidR="00E8214F" w:rsidRPr="00E649A9" w:rsidTr="00A62D95">
        <w:trPr>
          <w:trHeight w:val="255"/>
          <w:jc w:val="center"/>
        </w:trPr>
        <w:tc>
          <w:tcPr>
            <w:tcW w:w="187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Motocicletas</w:t>
            </w:r>
          </w:p>
        </w:tc>
        <w:tc>
          <w:tcPr>
            <w:tcW w:w="2693"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rPr>
                <w:rFonts w:ascii="Open Sans" w:eastAsia="Times New Roman" w:hAnsi="Open Sans" w:cs="Open Sans"/>
                <w:sz w:val="18"/>
                <w:lang w:eastAsia="es-ES"/>
              </w:rPr>
            </w:pPr>
            <w:r w:rsidRPr="00E649A9">
              <w:rPr>
                <w:rFonts w:ascii="Open Sans" w:eastAsia="Times New Roman" w:hAnsi="Open Sans" w:cs="Open Sans"/>
                <w:sz w:val="18"/>
                <w:lang w:eastAsia="es-ES"/>
              </w:rPr>
              <w:t xml:space="preserve">De más de 1.000 </w:t>
            </w:r>
            <w:r>
              <w:rPr>
                <w:rFonts w:ascii="Open Sans" w:eastAsia="Times New Roman" w:hAnsi="Open Sans" w:cs="Open Sans"/>
                <w:sz w:val="18"/>
                <w:lang w:eastAsia="es-ES"/>
              </w:rPr>
              <w:t>CC</w:t>
            </w:r>
          </w:p>
        </w:tc>
        <w:tc>
          <w:tcPr>
            <w:tcW w:w="1507" w:type="dxa"/>
            <w:tcBorders>
              <w:top w:val="nil"/>
              <w:left w:val="nil"/>
              <w:bottom w:val="nil"/>
              <w:right w:val="nil"/>
            </w:tcBorders>
            <w:shd w:val="clear" w:color="auto" w:fill="auto"/>
            <w:noWrap/>
            <w:vAlign w:val="bottom"/>
            <w:hideMark/>
          </w:tcPr>
          <w:p w:rsidR="00E8214F" w:rsidRPr="00E649A9" w:rsidRDefault="00E8214F" w:rsidP="00A62D95">
            <w:pPr>
              <w:spacing w:after="0" w:line="240" w:lineRule="auto"/>
              <w:jc w:val="right"/>
              <w:rPr>
                <w:rFonts w:ascii="Open Sans" w:eastAsia="Times New Roman" w:hAnsi="Open Sans" w:cs="Open Sans"/>
                <w:sz w:val="18"/>
                <w:lang w:eastAsia="es-ES"/>
              </w:rPr>
            </w:pPr>
            <w:r w:rsidRPr="00E649A9">
              <w:rPr>
                <w:rFonts w:ascii="Open Sans" w:eastAsia="Times New Roman" w:hAnsi="Open Sans" w:cs="Open Sans"/>
                <w:sz w:val="18"/>
                <w:lang w:eastAsia="es-ES"/>
              </w:rPr>
              <w:t>60,58</w:t>
            </w:r>
          </w:p>
        </w:tc>
        <w:tc>
          <w:tcPr>
            <w:tcW w:w="1142"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c>
          <w:tcPr>
            <w:tcW w:w="1390" w:type="dxa"/>
            <w:tcBorders>
              <w:top w:val="nil"/>
              <w:left w:val="nil"/>
              <w:bottom w:val="nil"/>
              <w:right w:val="nil"/>
            </w:tcBorders>
            <w:shd w:val="clear" w:color="auto" w:fill="FFFFFF" w:themeFill="background1"/>
            <w:noWrap/>
            <w:vAlign w:val="center"/>
          </w:tcPr>
          <w:p w:rsidR="00E8214F" w:rsidRPr="00E649A9" w:rsidRDefault="00E8214F" w:rsidP="00A62D95">
            <w:pPr>
              <w:spacing w:after="0" w:line="240" w:lineRule="auto"/>
              <w:jc w:val="center"/>
              <w:rPr>
                <w:rFonts w:ascii="Open Sans" w:eastAsia="Times New Roman" w:hAnsi="Open Sans" w:cs="Open Sans"/>
                <w:sz w:val="18"/>
                <w:lang w:eastAsia="es-ES"/>
              </w:rPr>
            </w:pPr>
            <w:r w:rsidRPr="00E649A9">
              <w:rPr>
                <w:rFonts w:ascii="Open Sans" w:eastAsia="Times New Roman" w:hAnsi="Open Sans" w:cs="Open Sans"/>
                <w:sz w:val="18"/>
                <w:highlight w:val="red"/>
                <w:lang w:eastAsia="es-ES"/>
              </w:rPr>
              <w:t>…</w:t>
            </w:r>
          </w:p>
        </w:tc>
      </w:tr>
    </w:tbl>
    <w:p w:rsidR="00E8214F" w:rsidRPr="00E649A9" w:rsidRDefault="00E8214F" w:rsidP="00E8214F">
      <w:pPr>
        <w:spacing w:after="0"/>
        <w:jc w:val="both"/>
        <w:rPr>
          <w:rFonts w:ascii="Open Sans" w:eastAsiaTheme="minorEastAsia" w:hAnsi="Open Sans" w:cs="Open Sans"/>
          <w:color w:val="000000"/>
          <w:lang w:eastAsia="es-ES"/>
        </w:rPr>
      </w:pP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 xml:space="preserve">2. En la aplicación de las cuotas de tarifa y de los coeficientes de incremento se tendrán en cuenta las normas recogidas en los apartados 1 a 5 del artículo 95 del </w:t>
      </w:r>
      <w:r w:rsidRPr="00E649A9">
        <w:rPr>
          <w:rFonts w:ascii="Open Sans" w:eastAsiaTheme="minorEastAsia" w:hAnsi="Open Sans" w:cs="Open Sans"/>
          <w:color w:val="000000"/>
          <w:lang w:eastAsia="es-ES"/>
        </w:rPr>
        <w:lastRenderedPageBreak/>
        <w:t>Real Decreto Legislativo 2/2004, de 5 de marzo del Texto Refundido de la Ley Reguladora de las Haciendas Locales.</w:t>
      </w:r>
    </w:p>
    <w:p w:rsidR="00E8214F" w:rsidRPr="00E649A9" w:rsidRDefault="00E8214F" w:rsidP="00E8214F">
      <w:pPr>
        <w:spacing w:after="0"/>
        <w:jc w:val="both"/>
        <w:rPr>
          <w:rFonts w:ascii="Open Sans" w:eastAsiaTheme="minorEastAsia" w:hAnsi="Open Sans" w:cs="Open Sans"/>
          <w:b/>
          <w:color w:val="000000"/>
          <w:lang w:eastAsia="es-ES"/>
        </w:rPr>
      </w:pPr>
    </w:p>
    <w:p w:rsidR="00E8214F" w:rsidRPr="00E649A9" w:rsidRDefault="00E8214F" w:rsidP="00E8214F">
      <w:pPr>
        <w:spacing w:after="0"/>
        <w:jc w:val="both"/>
        <w:rPr>
          <w:rFonts w:ascii="Open Sans" w:eastAsiaTheme="minorEastAsia" w:hAnsi="Open Sans" w:cs="Open Sans"/>
          <w:b/>
          <w:color w:val="000000"/>
          <w:lang w:eastAsia="es-ES"/>
        </w:rPr>
      </w:pPr>
      <w:r w:rsidRPr="00E649A9">
        <w:rPr>
          <w:rFonts w:ascii="Open Sans" w:eastAsiaTheme="minorEastAsia" w:hAnsi="Open Sans" w:cs="Open Sans"/>
          <w:b/>
          <w:color w:val="000000"/>
          <w:lang w:eastAsia="es-ES"/>
        </w:rPr>
        <w:t>Artículo 6. BONIFICACIONES.</w:t>
      </w:r>
      <w:r w:rsidRPr="00E649A9">
        <w:rPr>
          <w:rStyle w:val="Refdenotaalpie"/>
          <w:rFonts w:ascii="Open Sans" w:eastAsiaTheme="minorEastAsia" w:hAnsi="Open Sans" w:cs="Open Sans"/>
          <w:b/>
          <w:color w:val="000000"/>
          <w:lang w:eastAsia="es-ES"/>
        </w:rPr>
        <w:footnoteReference w:id="2"/>
      </w:r>
    </w:p>
    <w:p w:rsidR="00E8214F" w:rsidRPr="00E649A9" w:rsidRDefault="00E8214F" w:rsidP="00E8214F">
      <w:pPr>
        <w:pStyle w:val="Prrafodelista"/>
        <w:spacing w:after="0"/>
        <w:ind w:left="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1. De acuerdo con lo establecido en el artículo 95.6 c) del TRLHL, se establecen las siguientes bonificaciones de las cuotas de tarifa incrementadas por aplicación de los respectivos coeficientes:</w:t>
      </w:r>
    </w:p>
    <w:p w:rsidR="00E8214F" w:rsidRPr="00E649A9" w:rsidRDefault="00E8214F" w:rsidP="00E8214F">
      <w:pPr>
        <w:pStyle w:val="Prrafodelista"/>
        <w:numPr>
          <w:ilvl w:val="0"/>
          <w:numId w:val="23"/>
        </w:numPr>
        <w:spacing w:after="0"/>
        <w:ind w:left="426"/>
        <w:jc w:val="both"/>
        <w:rPr>
          <w:rFonts w:ascii="Open Sans" w:hAnsi="Open Sans" w:cs="Open Sans"/>
        </w:rPr>
      </w:pPr>
      <w:r w:rsidRPr="00E649A9">
        <w:rPr>
          <w:rFonts w:ascii="Open Sans" w:hAnsi="Open Sans" w:cs="Open Sans"/>
          <w:color w:val="000000" w:themeColor="text1"/>
        </w:rPr>
        <w:t>Tendrán derecho a una b</w:t>
      </w:r>
      <w:r w:rsidRPr="00E649A9">
        <w:rPr>
          <w:rFonts w:ascii="Open Sans" w:hAnsi="Open Sans" w:cs="Open Sans"/>
        </w:rPr>
        <w:t xml:space="preserve">onificación </w:t>
      </w:r>
      <w:proofErr w:type="gramStart"/>
      <w:r w:rsidRPr="00E649A9">
        <w:rPr>
          <w:rFonts w:ascii="Open Sans" w:hAnsi="Open Sans" w:cs="Open Sans"/>
        </w:rPr>
        <w:t xml:space="preserve">del </w:t>
      </w:r>
      <w:r w:rsidRPr="00E649A9">
        <w:rPr>
          <w:rFonts w:ascii="Open Sans" w:hAnsi="Open Sans" w:cs="Open Sans"/>
          <w:highlight w:val="red"/>
        </w:rPr>
        <w:t>…</w:t>
      </w:r>
      <w:proofErr w:type="gramEnd"/>
      <w:r w:rsidRPr="00E649A9">
        <w:rPr>
          <w:rFonts w:ascii="Open Sans" w:hAnsi="Open Sans" w:cs="Open Sans"/>
        </w:rPr>
        <w:t>%</w:t>
      </w:r>
      <w:r w:rsidRPr="00E649A9">
        <w:rPr>
          <w:rStyle w:val="Refdenotaalpie"/>
          <w:rFonts w:ascii="Open Sans" w:hAnsi="Open Sans" w:cs="Open Sans"/>
        </w:rPr>
        <w:footnoteReference w:id="3"/>
      </w:r>
      <w:r w:rsidRPr="00E649A9">
        <w:rPr>
          <w:rFonts w:ascii="Open Sans" w:hAnsi="Open Sans" w:cs="Open Sans"/>
        </w:rPr>
        <w:t xml:space="preserve"> para los vehículos históricos o aquellos que tengan una antigüedad mínima de veinticinco años, contados a partir de la fecha de su fabricación o, si ésta no se conociera, tomando como tal la de su primera matriculación o, en su defecto, la fecha en que el correspondiente tipo o variante se dejó de fabricar. </w:t>
      </w:r>
    </w:p>
    <w:p w:rsidR="00E8214F" w:rsidRPr="00E649A9" w:rsidRDefault="00E8214F" w:rsidP="00E8214F">
      <w:pPr>
        <w:spacing w:after="0"/>
        <w:ind w:left="360"/>
        <w:jc w:val="both"/>
        <w:rPr>
          <w:rFonts w:ascii="Open Sans" w:eastAsiaTheme="minorEastAsia" w:hAnsi="Open Sans" w:cs="Open Sans"/>
          <w:color w:val="000000" w:themeColor="text1"/>
          <w:lang w:eastAsia="es-ES"/>
        </w:rPr>
      </w:pPr>
      <w:r w:rsidRPr="00E649A9">
        <w:rPr>
          <w:rFonts w:ascii="Open Sans" w:hAnsi="Open Sans" w:cs="Open Sans"/>
        </w:rPr>
        <w:t xml:space="preserve">La concesión de esta bonificación requiere solicitud previa por parte del sujeto pasivo, y </w:t>
      </w:r>
      <w:r>
        <w:rPr>
          <w:rFonts w:ascii="Open Sans" w:eastAsiaTheme="minorEastAsia" w:hAnsi="Open Sans" w:cs="Open Sans"/>
          <w:color w:val="000000" w:themeColor="text1"/>
          <w:lang w:eastAsia="es-ES"/>
        </w:rPr>
        <w:t>surtirá</w:t>
      </w:r>
      <w:r w:rsidRPr="00E649A9">
        <w:rPr>
          <w:rFonts w:ascii="Open Sans" w:eastAsiaTheme="minorEastAsia" w:hAnsi="Open Sans" w:cs="Open Sans"/>
          <w:color w:val="000000" w:themeColor="text1"/>
          <w:lang w:eastAsia="es-ES"/>
        </w:rPr>
        <w:t xml:space="preserve"> efectos para el periodo impositivo siguiente al de la presentación de su solicitud. No obstante, cuando el beneficio fiscal sea solicitado antes de</w:t>
      </w:r>
      <w:r>
        <w:rPr>
          <w:rFonts w:ascii="Open Sans" w:eastAsiaTheme="minorEastAsia" w:hAnsi="Open Sans" w:cs="Open Sans"/>
          <w:color w:val="000000" w:themeColor="text1"/>
          <w:lang w:eastAsia="es-ES"/>
        </w:rPr>
        <w:t>l 31 de enero</w:t>
      </w:r>
      <w:r w:rsidRPr="00E649A9">
        <w:rPr>
          <w:rFonts w:ascii="Open Sans" w:eastAsiaTheme="minorEastAsia" w:hAnsi="Open Sans" w:cs="Open Sans"/>
          <w:color w:val="000000" w:themeColor="text1"/>
          <w:lang w:eastAsia="es-ES"/>
        </w:rPr>
        <w:t>, será concedido para el periodo impositivo en curso, siempre que a la fecha del devengo del tributo concurran los requisitos exigidos para su disfrute.</w:t>
      </w:r>
    </w:p>
    <w:p w:rsidR="00E8214F" w:rsidRPr="00E649A9" w:rsidRDefault="00E8214F" w:rsidP="00E8214F">
      <w:pPr>
        <w:pStyle w:val="Prrafodelista"/>
        <w:spacing w:after="0"/>
        <w:ind w:left="426"/>
        <w:jc w:val="both"/>
        <w:rPr>
          <w:rFonts w:ascii="Open Sans" w:hAnsi="Open Sans" w:cs="Open Sans"/>
        </w:rPr>
      </w:pPr>
    </w:p>
    <w:p w:rsidR="00E8214F" w:rsidRPr="00E649A9" w:rsidRDefault="00E8214F" w:rsidP="00E8214F">
      <w:pPr>
        <w:pStyle w:val="Prrafodelista"/>
        <w:numPr>
          <w:ilvl w:val="0"/>
          <w:numId w:val="23"/>
        </w:numPr>
        <w:spacing w:after="0"/>
        <w:ind w:left="426"/>
        <w:jc w:val="both"/>
        <w:rPr>
          <w:rFonts w:ascii="Open Sans" w:hAnsi="Open Sans" w:cs="Open Sans"/>
        </w:rPr>
      </w:pPr>
      <w:r w:rsidRPr="00E649A9">
        <w:rPr>
          <w:rFonts w:ascii="Open Sans" w:hAnsi="Open Sans" w:cs="Open Sans"/>
          <w:color w:val="000000" w:themeColor="text1"/>
        </w:rPr>
        <w:t>Tendrán derecho a una b</w:t>
      </w:r>
      <w:r w:rsidRPr="00E649A9">
        <w:rPr>
          <w:rFonts w:ascii="Open Sans" w:hAnsi="Open Sans" w:cs="Open Sans"/>
        </w:rPr>
        <w:t xml:space="preserve">onificación sobre la cuota del Impuesto en favor de los vehículos automóviles de las clases: Turismo, camiones, furgones, furgonetas, vehículos mixtos adaptables, autobuses, autocares, motocicletas y ciclomotores, en función de la clase de carburante utilizado, de las características del motor y de su incidencia en el medio ambiente, de acuerdo con las siguientes características: </w:t>
      </w:r>
    </w:p>
    <w:p w:rsidR="00E8214F" w:rsidRPr="00E649A9" w:rsidRDefault="00E8214F" w:rsidP="00E8214F">
      <w:pPr>
        <w:pStyle w:val="Prrafodelista"/>
        <w:numPr>
          <w:ilvl w:val="0"/>
          <w:numId w:val="24"/>
        </w:numPr>
        <w:spacing w:after="0"/>
        <w:jc w:val="both"/>
        <w:rPr>
          <w:rFonts w:ascii="Open Sans" w:hAnsi="Open Sans" w:cs="Open Sans"/>
        </w:rPr>
      </w:pPr>
      <w:r w:rsidRPr="00E649A9">
        <w:rPr>
          <w:rFonts w:ascii="Open Sans" w:hAnsi="Open Sans" w:cs="Open Sans"/>
        </w:rPr>
        <w:t xml:space="preserve">Vehículos que no sean de combustión interna (eléctricos, de pila de combustible o de emisiones directas nulas) o vehículos híbridos </w:t>
      </w:r>
      <w:proofErr w:type="spellStart"/>
      <w:r w:rsidRPr="00E649A9">
        <w:rPr>
          <w:rFonts w:ascii="Open Sans" w:hAnsi="Open Sans" w:cs="Open Sans"/>
        </w:rPr>
        <w:t>enchufables</w:t>
      </w:r>
      <w:proofErr w:type="spellEnd"/>
      <w:r w:rsidRPr="00E649A9">
        <w:rPr>
          <w:rFonts w:ascii="Open Sans" w:hAnsi="Open Sans" w:cs="Open Sans"/>
        </w:rPr>
        <w:t xml:space="preserve"> PHEV (Plug in </w:t>
      </w:r>
      <w:proofErr w:type="spellStart"/>
      <w:r w:rsidRPr="00E649A9">
        <w:rPr>
          <w:rFonts w:ascii="Open Sans" w:hAnsi="Open Sans" w:cs="Open Sans"/>
        </w:rPr>
        <w:t>Hybrid</w:t>
      </w:r>
      <w:proofErr w:type="spellEnd"/>
      <w:r w:rsidRPr="00E649A9">
        <w:rPr>
          <w:rFonts w:ascii="Open Sans" w:hAnsi="Open Sans" w:cs="Open Sans"/>
        </w:rPr>
        <w:t xml:space="preserve"> </w:t>
      </w:r>
      <w:proofErr w:type="spellStart"/>
      <w:r w:rsidRPr="00E649A9">
        <w:rPr>
          <w:rFonts w:ascii="Open Sans" w:hAnsi="Open Sans" w:cs="Open Sans"/>
        </w:rPr>
        <w:t>Vehicle</w:t>
      </w:r>
      <w:proofErr w:type="spellEnd"/>
      <w:r w:rsidRPr="00E649A9">
        <w:rPr>
          <w:rFonts w:ascii="Open Sans" w:hAnsi="Open Sans" w:cs="Open Sans"/>
        </w:rPr>
        <w:t xml:space="preserve">) o vehículos eléctricos de rango extendido: </w:t>
      </w:r>
      <w:r w:rsidRPr="00E649A9">
        <w:rPr>
          <w:rFonts w:ascii="Open Sans" w:hAnsi="Open Sans" w:cs="Open Sans"/>
          <w:highlight w:val="red"/>
        </w:rPr>
        <w:t>…</w:t>
      </w:r>
      <w:r w:rsidRPr="00E649A9">
        <w:rPr>
          <w:rFonts w:ascii="Open Sans" w:hAnsi="Open Sans" w:cs="Open Sans"/>
        </w:rPr>
        <w:t>%</w:t>
      </w:r>
    </w:p>
    <w:p w:rsidR="00E8214F" w:rsidRPr="00E649A9" w:rsidRDefault="00E8214F" w:rsidP="00E8214F">
      <w:pPr>
        <w:pStyle w:val="Prrafodelista"/>
        <w:numPr>
          <w:ilvl w:val="0"/>
          <w:numId w:val="24"/>
        </w:numPr>
        <w:spacing w:after="0"/>
        <w:jc w:val="both"/>
        <w:rPr>
          <w:rFonts w:ascii="Open Sans" w:hAnsi="Open Sans" w:cs="Open Sans"/>
        </w:rPr>
      </w:pPr>
      <w:r w:rsidRPr="00E649A9">
        <w:rPr>
          <w:rFonts w:ascii="Open Sans" w:hAnsi="Open Sans" w:cs="Open Sans"/>
        </w:rPr>
        <w:t xml:space="preserve">Vehículos que, según su homologación de fábrica, utilicen el gas o el </w:t>
      </w:r>
      <w:proofErr w:type="spellStart"/>
      <w:r w:rsidRPr="00E649A9">
        <w:rPr>
          <w:rFonts w:ascii="Open Sans" w:hAnsi="Open Sans" w:cs="Open Sans"/>
        </w:rPr>
        <w:t>bioetanol</w:t>
      </w:r>
      <w:proofErr w:type="spellEnd"/>
      <w:r w:rsidRPr="00E649A9">
        <w:rPr>
          <w:rFonts w:ascii="Open Sans" w:hAnsi="Open Sans" w:cs="Open Sans"/>
        </w:rPr>
        <w:t xml:space="preserve"> o sean de tecnología híbrida, e incorporen dispositivos catalizadores, adecuados a su clase y modelo, que minimicen las emisiones contaminantes: </w:t>
      </w:r>
      <w:r w:rsidRPr="00E649A9">
        <w:rPr>
          <w:rFonts w:ascii="Open Sans" w:hAnsi="Open Sans" w:cs="Open Sans"/>
          <w:highlight w:val="red"/>
        </w:rPr>
        <w:t>…</w:t>
      </w:r>
      <w:r w:rsidRPr="00E649A9">
        <w:rPr>
          <w:rFonts w:ascii="Open Sans" w:hAnsi="Open Sans" w:cs="Open Sans"/>
        </w:rPr>
        <w:t>%</w:t>
      </w:r>
    </w:p>
    <w:p w:rsidR="00E8214F" w:rsidRPr="00E649A9" w:rsidRDefault="00E8214F" w:rsidP="00E8214F">
      <w:pPr>
        <w:spacing w:after="0"/>
        <w:ind w:left="360"/>
        <w:jc w:val="both"/>
        <w:rPr>
          <w:rFonts w:ascii="Open Sans" w:hAnsi="Open Sans" w:cs="Open Sans"/>
        </w:rPr>
      </w:pPr>
      <w:r w:rsidRPr="00E649A9">
        <w:rPr>
          <w:rFonts w:ascii="Open Sans" w:hAnsi="Open Sans" w:cs="Open Sans"/>
        </w:rPr>
        <w:lastRenderedPageBreak/>
        <w:t xml:space="preserve">La concesión de esta bonificación requiere solicitud previa por parte del sujeto pasivo, y surtirá efectos durante un plazo </w:t>
      </w:r>
      <w:proofErr w:type="gramStart"/>
      <w:r w:rsidRPr="00E649A9">
        <w:rPr>
          <w:rFonts w:ascii="Open Sans" w:hAnsi="Open Sans" w:cs="Open Sans"/>
        </w:rPr>
        <w:t xml:space="preserve">de </w:t>
      </w:r>
      <w:r w:rsidRPr="00E649A9">
        <w:rPr>
          <w:rFonts w:ascii="Open Sans" w:hAnsi="Open Sans" w:cs="Open Sans"/>
          <w:highlight w:val="red"/>
        </w:rPr>
        <w:t>…</w:t>
      </w:r>
      <w:proofErr w:type="gramEnd"/>
      <w:r w:rsidRPr="00E649A9">
        <w:rPr>
          <w:rFonts w:ascii="Open Sans" w:hAnsi="Open Sans" w:cs="Open Sans"/>
        </w:rPr>
        <w:t xml:space="preserve"> a</w:t>
      </w:r>
      <w:r>
        <w:rPr>
          <w:rFonts w:ascii="Open Sans" w:hAnsi="Open Sans" w:cs="Open Sans"/>
        </w:rPr>
        <w:t>ños, contados a partir</w:t>
      </w:r>
      <w:r w:rsidRPr="00D50605">
        <w:rPr>
          <w:rFonts w:ascii="Open Sans" w:hAnsi="Open Sans" w:cs="Open Sans"/>
        </w:rPr>
        <w:t xml:space="preserve"> </w:t>
      </w:r>
      <w:r>
        <w:rPr>
          <w:rFonts w:ascii="Open Sans" w:hAnsi="Open Sans" w:cs="Open Sans"/>
        </w:rPr>
        <w:t>d</w:t>
      </w:r>
      <w:r w:rsidRPr="00D50605">
        <w:rPr>
          <w:rFonts w:ascii="Open Sans" w:hAnsi="Open Sans" w:cs="Open Sans"/>
        </w:rPr>
        <w:t>el periodo impositivo siguiente al de la presentación de su solicitud. No obstante, cuando el beneficio fiscal sea solicitado antes del 31 de enero, será concedido para el periodo impositivo en curso, siempre que a la fecha del devengo del tributo concurran los requisitos exigidos para su disfrute.</w:t>
      </w:r>
    </w:p>
    <w:p w:rsidR="00E8214F" w:rsidRPr="00E649A9" w:rsidRDefault="00E8214F" w:rsidP="00E8214F">
      <w:pPr>
        <w:spacing w:after="0"/>
        <w:jc w:val="both"/>
        <w:rPr>
          <w:rFonts w:ascii="Open Sans" w:eastAsiaTheme="minorEastAsia" w:hAnsi="Open Sans" w:cs="Open Sans"/>
          <w:b/>
          <w:color w:val="000000"/>
          <w:lang w:eastAsia="es-ES"/>
        </w:rPr>
      </w:pPr>
    </w:p>
    <w:p w:rsidR="00E8214F" w:rsidRPr="00E649A9" w:rsidRDefault="00E8214F" w:rsidP="00E8214F">
      <w:pPr>
        <w:spacing w:after="0"/>
        <w:jc w:val="both"/>
        <w:rPr>
          <w:rFonts w:ascii="Open Sans" w:eastAsiaTheme="minorEastAsia" w:hAnsi="Open Sans" w:cs="Open Sans"/>
          <w:b/>
          <w:color w:val="000000"/>
          <w:lang w:eastAsia="es-ES"/>
        </w:rPr>
      </w:pPr>
      <w:r w:rsidRPr="00E649A9">
        <w:rPr>
          <w:rFonts w:ascii="Open Sans" w:eastAsiaTheme="minorEastAsia" w:hAnsi="Open Sans" w:cs="Open Sans"/>
          <w:b/>
          <w:color w:val="000000"/>
          <w:lang w:eastAsia="es-ES"/>
        </w:rPr>
        <w:t>Artículo 7. PERIODO IMPOSITIVO Y DEVENGO.</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1. El período impositivo coincide con el año natural, salvo en el caso de primera adquisición de los vehículos. En este caso, el período impositivo comenzará el día en que se produzca dicha adquisición.</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2. El impuesto se devenga el primer día del período impositivo.</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3. El importe de la cuota del Impuesto se prorrateará por trimestres naturales en los casos de primera adquisición o baja definitiva del vehículo. También procederá el prorrateo de la cuota, en los mismos términos en los supuestos de baja temporal por sustracción o robo de vehículo, y ello desde el momento en que se produzca dicha baja temporal en el Registro público correspondiente.</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Cuando proceda el prorrateo de la cuota por alta del vehículo, el sujeto pasivo vendrá obligado a satisfacer la parte de dicha cuota correspondiente a los trimestres del año que restan por transcurrir incluido aquel en el que tenga lugar la referida alta. Cuando proceda el prorrateo por baja temporal o definitiva del vehículo, el sujeto pasivo vendrá obligado a satisfacer la parte de la cuota correspondiente a los trimestres del año que hayan transcurrido incluido aquel en el que haya tenido lugar la referida baja.</w:t>
      </w:r>
    </w:p>
    <w:p w:rsidR="00E8214F"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Cuando el Ayuntamiento conozca la baja del vehículo antes de la elaboración del documento cobratorio, el Impuesto se liquidará con el prorrateo de la cuota que corresponda. Cuando la baja del vehículo tenga lugar con posterioridad a la elaboración del documento cobratorio y se haya hecho efectivo el pago del Impuesto, el sujeto pasivo podrá solicitar la devolución de la parte de la cuota correspondiente.</w:t>
      </w:r>
    </w:p>
    <w:p w:rsidR="00E8214F" w:rsidRPr="00E649A9" w:rsidRDefault="00E8214F" w:rsidP="00E8214F">
      <w:pPr>
        <w:spacing w:after="0"/>
        <w:jc w:val="both"/>
        <w:rPr>
          <w:rFonts w:ascii="Open Sans" w:eastAsiaTheme="minorEastAsia" w:hAnsi="Open Sans" w:cs="Open Sans"/>
          <w:color w:val="000000"/>
          <w:lang w:eastAsia="es-ES"/>
        </w:rPr>
      </w:pPr>
    </w:p>
    <w:p w:rsidR="00E8214F" w:rsidRPr="00E649A9" w:rsidRDefault="00E8214F" w:rsidP="00E8214F">
      <w:pPr>
        <w:spacing w:after="0"/>
        <w:jc w:val="both"/>
        <w:rPr>
          <w:rFonts w:ascii="Open Sans" w:eastAsiaTheme="minorEastAsia" w:hAnsi="Open Sans" w:cs="Open Sans"/>
          <w:b/>
          <w:color w:val="000000"/>
          <w:lang w:eastAsia="es-ES"/>
        </w:rPr>
      </w:pPr>
      <w:r w:rsidRPr="00E649A9">
        <w:rPr>
          <w:rFonts w:ascii="Open Sans" w:eastAsiaTheme="minorEastAsia" w:hAnsi="Open Sans" w:cs="Open Sans"/>
          <w:b/>
          <w:color w:val="000000"/>
          <w:lang w:eastAsia="es-ES"/>
        </w:rPr>
        <w:t>Artículo 8. GESTIÓN Y PAGO DEL TRIBUTO.</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 xml:space="preserve">1. Corresponde a este </w:t>
      </w:r>
      <w:r w:rsidRPr="00E649A9">
        <w:rPr>
          <w:rFonts w:ascii="Open Sans" w:eastAsiaTheme="minorEastAsia" w:hAnsi="Open Sans" w:cs="Open Sans"/>
          <w:lang w:eastAsia="es-ES"/>
        </w:rPr>
        <w:t xml:space="preserve">municipio la exacción del impuesto </w:t>
      </w:r>
      <w:r w:rsidRPr="00E649A9">
        <w:rPr>
          <w:rFonts w:ascii="Open Sans" w:eastAsiaTheme="minorEastAsia" w:hAnsi="Open Sans" w:cs="Open Sans"/>
          <w:color w:val="000000"/>
          <w:lang w:eastAsia="es-ES"/>
        </w:rPr>
        <w:t>respecto a los vehículos en cuyo permiso de circulación conste un domicilio de su término municipal.</w:t>
      </w:r>
    </w:p>
    <w:p w:rsidR="00E8214F" w:rsidRPr="00E649A9" w:rsidRDefault="00E8214F" w:rsidP="00E8214F">
      <w:pPr>
        <w:spacing w:after="0"/>
        <w:jc w:val="both"/>
        <w:rPr>
          <w:rFonts w:ascii="Open Sans" w:eastAsiaTheme="minorEastAsia" w:hAnsi="Open Sans" w:cs="Open Sans"/>
          <w:color w:val="000000"/>
          <w:lang w:eastAsia="es-ES"/>
        </w:rPr>
      </w:pP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 xml:space="preserve">2. La gestión, liquidación, recaudación e inspección del impuesto se llevará a cabo por el </w:t>
      </w:r>
      <w:r>
        <w:rPr>
          <w:rFonts w:ascii="Open Sans" w:eastAsiaTheme="minorEastAsia" w:hAnsi="Open Sans" w:cs="Open Sans"/>
          <w:color w:val="000000"/>
          <w:lang w:eastAsia="es-ES"/>
        </w:rPr>
        <w:t xml:space="preserve">Organismo Autónomo de Recaudación de la Diputación de Badajoz, en virtud del </w:t>
      </w:r>
      <w:r w:rsidRPr="00E649A9">
        <w:rPr>
          <w:rFonts w:ascii="Open Sans" w:eastAsiaTheme="minorEastAsia" w:hAnsi="Open Sans" w:cs="Open Sans"/>
          <w:color w:val="000000"/>
          <w:lang w:eastAsia="es-ES"/>
        </w:rPr>
        <w:t xml:space="preserve">acuerdo de delegación de competencias </w:t>
      </w:r>
      <w:r>
        <w:rPr>
          <w:rFonts w:ascii="Open Sans" w:eastAsiaTheme="minorEastAsia" w:hAnsi="Open Sans" w:cs="Open Sans"/>
          <w:color w:val="000000"/>
          <w:lang w:eastAsia="es-ES"/>
        </w:rPr>
        <w:t xml:space="preserve">publicado en el BOP de fecha </w:t>
      </w:r>
      <w:r w:rsidRPr="00E649A9">
        <w:rPr>
          <w:rFonts w:ascii="Open Sans" w:eastAsia="Times New Roman" w:hAnsi="Open Sans" w:cs="Open Sans"/>
          <w:highlight w:val="red"/>
          <w:lang w:eastAsia="es-ES"/>
        </w:rPr>
        <w:t>...</w:t>
      </w:r>
      <w:r w:rsidRPr="00E649A9">
        <w:rPr>
          <w:rFonts w:ascii="Open Sans" w:eastAsia="Times New Roman" w:hAnsi="Open Sans" w:cs="Open Sans"/>
          <w:lang w:eastAsia="es-ES"/>
        </w:rPr>
        <w:t xml:space="preserve"> </w:t>
      </w:r>
      <w:r w:rsidRPr="00E649A9">
        <w:rPr>
          <w:rFonts w:ascii="Open Sans" w:eastAsia="Times New Roman" w:hAnsi="Open Sans" w:cs="Open Sans"/>
          <w:lang w:eastAsia="es-ES"/>
        </w:rPr>
        <w:lastRenderedPageBreak/>
        <w:t xml:space="preserve">de </w:t>
      </w:r>
      <w:r w:rsidRPr="00E649A9">
        <w:rPr>
          <w:rFonts w:ascii="Open Sans" w:eastAsia="Times New Roman" w:hAnsi="Open Sans" w:cs="Open Sans"/>
          <w:highlight w:val="red"/>
          <w:lang w:eastAsia="es-ES"/>
        </w:rPr>
        <w:t>...</w:t>
      </w:r>
      <w:r w:rsidRPr="00E649A9">
        <w:rPr>
          <w:rFonts w:ascii="Open Sans" w:eastAsia="Times New Roman" w:hAnsi="Open Sans" w:cs="Open Sans"/>
          <w:lang w:eastAsia="es-ES"/>
        </w:rPr>
        <w:t xml:space="preserve"> de </w:t>
      </w:r>
      <w:r w:rsidRPr="00E649A9">
        <w:rPr>
          <w:rFonts w:ascii="Open Sans" w:eastAsia="Times New Roman" w:hAnsi="Open Sans" w:cs="Open Sans"/>
          <w:highlight w:val="red"/>
          <w:lang w:eastAsia="es-ES"/>
        </w:rPr>
        <w:t>...</w:t>
      </w:r>
      <w:r w:rsidRPr="00E649A9">
        <w:rPr>
          <w:rFonts w:ascii="Open Sans" w:eastAsia="Times New Roman" w:hAnsi="Open Sans" w:cs="Open Sans"/>
          <w:lang w:eastAsia="es-ES"/>
        </w:rPr>
        <w:t>,</w:t>
      </w:r>
      <w:r w:rsidRPr="00E649A9">
        <w:rPr>
          <w:rFonts w:ascii="Open Sans" w:eastAsia="Times New Roman" w:hAnsi="Open Sans" w:cs="Open Sans"/>
          <w:vertAlign w:val="superscript"/>
          <w:lang w:eastAsia="es-ES"/>
        </w:rPr>
        <w:footnoteReference w:id="4"/>
      </w:r>
      <w:r w:rsidRPr="00E649A9">
        <w:rPr>
          <w:rFonts w:ascii="Open Sans" w:eastAsia="Times New Roman" w:hAnsi="Open Sans" w:cs="Open Sans"/>
          <w:lang w:eastAsia="es-ES"/>
        </w:rPr>
        <w:t xml:space="preserve"> </w:t>
      </w:r>
      <w:r w:rsidRPr="00E649A9">
        <w:rPr>
          <w:rFonts w:ascii="Open Sans" w:eastAsiaTheme="minorEastAsia" w:hAnsi="Open Sans" w:cs="Open Sans"/>
          <w:color w:val="000000"/>
          <w:lang w:eastAsia="es-ES"/>
        </w:rPr>
        <w:t>conforme a lo establecido los artículos 106.3 de la Ley 7/1985, de 2 de abril, Reguladora de las Bases del Régimen Local y en los artículos 7</w:t>
      </w:r>
      <w:r>
        <w:rPr>
          <w:rFonts w:ascii="Open Sans" w:eastAsiaTheme="minorEastAsia" w:hAnsi="Open Sans" w:cs="Open Sans"/>
          <w:color w:val="000000"/>
          <w:lang w:eastAsia="es-ES"/>
        </w:rPr>
        <w:t>.1 y</w:t>
      </w:r>
      <w:r w:rsidRPr="00E649A9">
        <w:rPr>
          <w:rFonts w:ascii="Open Sans" w:eastAsiaTheme="minorEastAsia" w:hAnsi="Open Sans" w:cs="Open Sans"/>
          <w:color w:val="000000"/>
          <w:lang w:eastAsia="es-ES"/>
        </w:rPr>
        <w:t xml:space="preserve"> 8</w:t>
      </w:r>
      <w:r>
        <w:rPr>
          <w:rFonts w:ascii="Open Sans" w:eastAsiaTheme="minorEastAsia" w:hAnsi="Open Sans" w:cs="Open Sans"/>
          <w:color w:val="000000"/>
          <w:lang w:eastAsia="es-ES"/>
        </w:rPr>
        <w:t>.4</w:t>
      </w:r>
      <w:r w:rsidRPr="00E649A9">
        <w:rPr>
          <w:rFonts w:ascii="Open Sans" w:eastAsiaTheme="minorEastAsia" w:hAnsi="Open Sans" w:cs="Open Sans"/>
          <w:color w:val="000000"/>
          <w:lang w:eastAsia="es-ES"/>
        </w:rPr>
        <w:t xml:space="preserve"> del Real Decreto Legislativo 2/2004, de 5 de marzo, por el que se aprueba el texto refundido de la Ley Reguladora de las Haciendas Locales.</w:t>
      </w:r>
    </w:p>
    <w:p w:rsidR="00E8214F" w:rsidRPr="00E649A9" w:rsidRDefault="00E8214F" w:rsidP="00E8214F">
      <w:pPr>
        <w:spacing w:after="0"/>
        <w:jc w:val="both"/>
        <w:rPr>
          <w:rFonts w:ascii="Open Sans" w:eastAsiaTheme="minorEastAsia" w:hAnsi="Open Sans" w:cs="Open Sans"/>
          <w:lang w:eastAsia="es-ES"/>
        </w:rPr>
      </w:pPr>
    </w:p>
    <w:p w:rsidR="00E8214F" w:rsidRPr="00E649A9" w:rsidRDefault="00E8214F" w:rsidP="00E8214F">
      <w:pPr>
        <w:spacing w:after="0"/>
        <w:jc w:val="both"/>
        <w:rPr>
          <w:rFonts w:ascii="Open Sans" w:eastAsiaTheme="minorEastAsia" w:hAnsi="Open Sans" w:cs="Open Sans"/>
          <w:lang w:eastAsia="es-ES"/>
        </w:rPr>
      </w:pPr>
      <w:r w:rsidRPr="00E649A9">
        <w:rPr>
          <w:rFonts w:ascii="Open Sans" w:eastAsiaTheme="minorEastAsia" w:hAnsi="Open Sans" w:cs="Open Sans"/>
          <w:lang w:eastAsia="es-ES"/>
        </w:rPr>
        <w:t xml:space="preserve">3. En los supuestos de adquisición y primera matriculación de los vehículos, el impuesto se exige en régimen de declaración-liquidación, que deberá realizarse con carácter previo a la matriculación o certificación de aptitud para circular de un vehículo. </w:t>
      </w:r>
      <w:r w:rsidRPr="00E649A9">
        <w:rPr>
          <w:rFonts w:ascii="Open Sans" w:hAnsi="Open Sans" w:cs="Open Sans"/>
        </w:rPr>
        <w:t> </w:t>
      </w:r>
      <w:r w:rsidRPr="00E649A9">
        <w:rPr>
          <w:rFonts w:ascii="Open Sans" w:eastAsiaTheme="minorEastAsia" w:hAnsi="Open Sans" w:cs="Open Sans"/>
          <w:lang w:eastAsia="es-ES"/>
        </w:rPr>
        <w:t>Igualmente, se podrá exigir el impuesto en este régimen en el supuesto de rehabilitación de un vehículo cuando esta se realice en ejercicios posteriores al de tramitación de la correspondiente baja.</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La declaración - liquidación se podrá presentar por el interesado o por su representante en las oficinas del Órgano de la Administración que resulte competente para la gestión del Impuesto, donde se prestará al contribuyente toda la asistencia necesaria para la práctica de sus declaraciones.</w:t>
      </w:r>
    </w:p>
    <w:p w:rsidR="00E8214F" w:rsidRPr="00E649A9" w:rsidRDefault="00E8214F" w:rsidP="00E8214F">
      <w:pPr>
        <w:spacing w:after="0"/>
        <w:jc w:val="both"/>
        <w:rPr>
          <w:rFonts w:ascii="Open Sans" w:eastAsiaTheme="minorEastAsia" w:hAnsi="Open Sans" w:cs="Open Sans"/>
          <w:color w:val="000000"/>
          <w:lang w:eastAsia="es-ES"/>
        </w:rPr>
      </w:pP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4. En los supuestos de vehículos ya matriculados o declarados aptos para circular, el impuesto se gestiona a partir del padrón anual del mismo.</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Las modificaciones del padrón se fundamentarán en los datos del Registro Público de Tráfico y en las comunicaciones de la Jefatura de Tráfico relativas a altas, bajas, transferencias y cambios de domicilio. Además, se podrán incorporar otras informaciones sobre bajas y cambios de domicilio de las que disponga el Ayuntamiento u otras Administraciones, en virtud de lo establecido en los artículos 106.3 de la Ley 7/1985, de 2 de abril, Reguladora de las Bases del Régimen Local y en el artículo 8 del Real Decreto Legislativo 2/2004, de 5 de marzo, por el que se aprueba el texto refundido de la Ley Reguladora de las Haciendas Locales.</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El padrón del impuesto se expondrá al público por un plazo de un mes a partir del primer día del período de pago, para que los interesados legítimos puedan examinarlo, y en su caso, formular las reclamaciones oportunas. La exposición al público del padrón se anunciará en el Boletín Oficial de la Provincia y producirá los efectos de notificación de la liquidación a cada uno de los sujetos pasivos.</w:t>
      </w:r>
    </w:p>
    <w:p w:rsidR="00E8214F" w:rsidRPr="00E649A9" w:rsidRDefault="00E8214F" w:rsidP="00E8214F">
      <w:pPr>
        <w:spacing w:after="0"/>
        <w:jc w:val="both"/>
        <w:rPr>
          <w:rFonts w:ascii="Open Sans" w:eastAsiaTheme="minorEastAsia" w:hAnsi="Open Sans" w:cs="Open Sans"/>
          <w:color w:val="000000"/>
          <w:lang w:eastAsia="es-ES"/>
        </w:rPr>
      </w:pPr>
    </w:p>
    <w:p w:rsidR="00E8214F" w:rsidRPr="00E649A9" w:rsidRDefault="00E8214F" w:rsidP="00E8214F">
      <w:pPr>
        <w:spacing w:after="0"/>
        <w:jc w:val="both"/>
        <w:rPr>
          <w:rFonts w:ascii="Open Sans" w:eastAsiaTheme="minorEastAsia" w:hAnsi="Open Sans" w:cs="Open Sans"/>
          <w:lang w:eastAsia="es-ES"/>
        </w:rPr>
      </w:pPr>
      <w:r w:rsidRPr="00E649A9">
        <w:rPr>
          <w:rFonts w:ascii="Open Sans" w:eastAsiaTheme="minorEastAsia" w:hAnsi="Open Sans" w:cs="Open Sans"/>
          <w:lang w:eastAsia="es-ES"/>
        </w:rPr>
        <w:t xml:space="preserve">5. </w:t>
      </w:r>
      <w:r w:rsidRPr="00E649A9">
        <w:rPr>
          <w:rFonts w:ascii="Open Sans" w:hAnsi="Open Sans" w:cs="Open Sans"/>
        </w:rPr>
        <w:t>El plazo de ingreso de las deudas de cobro por recibo notificadas colectivamente se determinará cada año y se anunciará públicamente en el Boletín Oficial de la Provincia</w:t>
      </w:r>
      <w:r w:rsidRPr="00E649A9">
        <w:rPr>
          <w:rFonts w:ascii="Open Sans" w:eastAsiaTheme="minorEastAsia" w:hAnsi="Open Sans" w:cs="Open Sans"/>
          <w:lang w:eastAsia="es-ES"/>
        </w:rPr>
        <w:t xml:space="preserve"> y en el tablón de anuncios del Ayuntamiento.</w:t>
      </w:r>
      <w:r w:rsidRPr="00E649A9">
        <w:rPr>
          <w:rFonts w:ascii="Open Sans" w:hAnsi="Open Sans" w:cs="Open Sans"/>
          <w:color w:val="76923C" w:themeColor="accent3" w:themeShade="BF"/>
        </w:rPr>
        <w:t xml:space="preserve"> </w:t>
      </w:r>
      <w:r w:rsidRPr="00E649A9">
        <w:rPr>
          <w:rFonts w:ascii="Open Sans" w:hAnsi="Open Sans" w:cs="Open Sans"/>
        </w:rPr>
        <w:t>El plazo del pago del resto de liquidaciones se ajustará a los plazos establecidos por la Ley 58/2003, de 17 de diciembre, General Tributaria.</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lastRenderedPageBreak/>
        <w:t xml:space="preserve">En los </w:t>
      </w:r>
      <w:r w:rsidRPr="00E649A9">
        <w:rPr>
          <w:rFonts w:ascii="Open Sans" w:eastAsiaTheme="minorEastAsia" w:hAnsi="Open Sans" w:cs="Open Sans"/>
          <w:color w:val="000000" w:themeColor="text1"/>
          <w:lang w:eastAsia="es-ES"/>
        </w:rPr>
        <w:t xml:space="preserve">supuestos de declaración- liquidación, el ingreso de la cuota se realizará en el momento de su presentación correspondiente. </w:t>
      </w:r>
      <w:r w:rsidRPr="00E649A9">
        <w:rPr>
          <w:rFonts w:ascii="Open Sans" w:eastAsiaTheme="minorEastAsia" w:hAnsi="Open Sans" w:cs="Open Sans"/>
          <w:color w:val="000000"/>
          <w:lang w:eastAsia="es-ES"/>
        </w:rPr>
        <w:t>Con carácter previo a la matriculación del vehículo, la oficina gestora verificará que el pago se ha hecho en la cuantía correcta y dejará constancia de la verificación en el impreso de declaración.</w:t>
      </w:r>
    </w:p>
    <w:p w:rsidR="00E8214F" w:rsidRPr="00E649A9" w:rsidRDefault="00E8214F" w:rsidP="00E8214F">
      <w:pPr>
        <w:spacing w:after="0"/>
        <w:jc w:val="both"/>
        <w:rPr>
          <w:rFonts w:ascii="Open Sans" w:eastAsiaTheme="minorEastAsia" w:hAnsi="Open Sans" w:cs="Open Sans"/>
          <w:color w:val="000000"/>
          <w:lang w:eastAsia="es-ES"/>
        </w:rPr>
      </w:pP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6. Las Jefaturas Provinciales de tráfico no tramitarán el cambio de titularidad administrativa de un vehículo en tanto su titular registral no haya acreditado el pago del impuesto correspondiente al periodo impositivo del año anterior a aquel en que se realiza el trámite, sin perjuicio de que sea exigible por vía de gestión e inspección el pago de todas las deudas, por dicho concepto, devengadas, liquidadas, presentadas al cobro y no prescritas. Se exceptúa de la referida obligación de acreditación el supuesto de las bajas definitivas de vehículos con quince o más años de antigüedad.</w:t>
      </w:r>
    </w:p>
    <w:p w:rsidR="00E8214F" w:rsidRPr="00E649A9" w:rsidRDefault="00E8214F" w:rsidP="00E8214F">
      <w:pPr>
        <w:spacing w:after="0"/>
        <w:jc w:val="both"/>
        <w:rPr>
          <w:rFonts w:ascii="Open Sans" w:eastAsiaTheme="minorEastAsia" w:hAnsi="Open Sans" w:cs="Open Sans"/>
          <w:color w:val="000000"/>
          <w:lang w:eastAsia="es-ES"/>
        </w:rPr>
      </w:pP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7. Este Ayuntamiento o el Organismo gestor del Impuesto por delegación, al finalizar el período voluntario, comunicará informáticamente al Registro de Vehículos de la Dirección General de Tráfico el impago de la deuda correspondiente al período impositivo del año en curso. La inexistencia de anotaciones por impago en el Registro de Vehículos implicará, a los únicos efectos de realización del trámite, la acreditación anteriormente señalada.</w:t>
      </w:r>
    </w:p>
    <w:p w:rsidR="00E8214F" w:rsidRPr="00E649A9" w:rsidRDefault="00E8214F" w:rsidP="00E8214F">
      <w:pPr>
        <w:spacing w:after="0"/>
        <w:jc w:val="both"/>
        <w:rPr>
          <w:rFonts w:ascii="Open Sans" w:eastAsiaTheme="minorEastAsia" w:hAnsi="Open Sans" w:cs="Open Sans"/>
          <w:b/>
          <w:color w:val="000000"/>
          <w:lang w:eastAsia="es-ES"/>
        </w:rPr>
      </w:pPr>
    </w:p>
    <w:p w:rsidR="00E8214F" w:rsidRPr="00E649A9" w:rsidRDefault="00E8214F" w:rsidP="00E8214F">
      <w:pPr>
        <w:spacing w:after="0"/>
        <w:jc w:val="both"/>
        <w:rPr>
          <w:rFonts w:ascii="Open Sans" w:eastAsiaTheme="minorEastAsia" w:hAnsi="Open Sans" w:cs="Open Sans"/>
          <w:b/>
          <w:color w:val="000000"/>
          <w:lang w:eastAsia="es-ES"/>
        </w:rPr>
      </w:pPr>
      <w:r w:rsidRPr="00E649A9">
        <w:rPr>
          <w:rFonts w:ascii="Open Sans" w:eastAsiaTheme="minorEastAsia" w:hAnsi="Open Sans" w:cs="Open Sans"/>
          <w:b/>
          <w:color w:val="000000"/>
          <w:lang w:eastAsia="es-ES"/>
        </w:rPr>
        <w:t>Artículo 9. REVISIÓN DE LOS ACTOS ADMINISTRATIVOS.</w:t>
      </w:r>
    </w:p>
    <w:p w:rsidR="00E8214F" w:rsidRPr="00E649A9" w:rsidRDefault="00E8214F" w:rsidP="00E8214F">
      <w:pPr>
        <w:spacing w:after="0"/>
        <w:jc w:val="both"/>
        <w:rPr>
          <w:rFonts w:ascii="Open Sans" w:eastAsiaTheme="minorEastAsia" w:hAnsi="Open Sans" w:cs="Open Sans"/>
          <w:color w:val="000000"/>
          <w:lang w:eastAsia="es-ES"/>
        </w:rPr>
      </w:pPr>
      <w:r w:rsidRPr="00E649A9">
        <w:rPr>
          <w:rFonts w:ascii="Open Sans" w:eastAsiaTheme="minorEastAsia" w:hAnsi="Open Sans" w:cs="Open Sans"/>
          <w:color w:val="000000"/>
          <w:lang w:eastAsia="es-ES"/>
        </w:rPr>
        <w:t>Los actos de gestión, liquidación, recaudación e inspección del impuesto serán revisables conforme al procedimiento aplicable a la entidad que los dicte. En particular, cuando dichos actos sean dictados por una entidad local, los mismos se revisarán conforme a lo preceptuado en el artículo 14 del Real Decreto Legislativo 2/2004, de 5 de marzo del Texto Refundido de la Ley Reguladora de las Haciendas Locales.</w:t>
      </w:r>
    </w:p>
    <w:p w:rsidR="00E8214F" w:rsidRPr="00E649A9" w:rsidRDefault="00E8214F" w:rsidP="00E8214F">
      <w:pPr>
        <w:spacing w:after="0"/>
        <w:jc w:val="both"/>
        <w:rPr>
          <w:rFonts w:ascii="Open Sans" w:eastAsiaTheme="minorEastAsia" w:hAnsi="Open Sans" w:cs="Open Sans"/>
          <w:color w:val="000000"/>
          <w:lang w:eastAsia="es-ES"/>
        </w:rPr>
      </w:pPr>
    </w:p>
    <w:p w:rsidR="00E8214F" w:rsidRPr="00E649A9" w:rsidRDefault="00E8214F" w:rsidP="00E8214F">
      <w:pPr>
        <w:spacing w:after="0"/>
        <w:jc w:val="both"/>
        <w:rPr>
          <w:rFonts w:ascii="Open Sans" w:eastAsiaTheme="minorEastAsia" w:hAnsi="Open Sans" w:cs="Open Sans"/>
          <w:b/>
          <w:color w:val="000000" w:themeColor="text1"/>
          <w:lang w:eastAsia="es-ES"/>
        </w:rPr>
      </w:pPr>
      <w:r w:rsidRPr="00E649A9">
        <w:rPr>
          <w:rFonts w:ascii="Open Sans" w:eastAsiaTheme="minorEastAsia" w:hAnsi="Open Sans" w:cs="Open Sans"/>
          <w:b/>
          <w:color w:val="000000" w:themeColor="text1"/>
          <w:lang w:eastAsia="es-ES"/>
        </w:rPr>
        <w:t>Artículo 10. INFRACCIONES Y SANCIONES TRIBUTARIAS.</w:t>
      </w:r>
    </w:p>
    <w:p w:rsidR="00E8214F" w:rsidRPr="00E649A9" w:rsidRDefault="00E8214F" w:rsidP="00E8214F">
      <w:pPr>
        <w:spacing w:after="0"/>
        <w:jc w:val="both"/>
        <w:rPr>
          <w:rFonts w:ascii="Open Sans" w:eastAsiaTheme="minorEastAsia" w:hAnsi="Open Sans" w:cs="Open Sans"/>
          <w:color w:val="000000" w:themeColor="text1"/>
          <w:lang w:eastAsia="es-ES"/>
        </w:rPr>
      </w:pPr>
      <w:r w:rsidRPr="00E649A9">
        <w:rPr>
          <w:rFonts w:ascii="Open Sans" w:eastAsiaTheme="minorEastAsia" w:hAnsi="Open Sans" w:cs="Open Sans"/>
          <w:color w:val="000000" w:themeColor="text1"/>
          <w:lang w:eastAsia="es-ES"/>
        </w:rPr>
        <w:t>En todo lo relativo a infracciones tributarias y sus distintas calificaciones, así como a las sanciones que a las mismas correspondan en cada caso, se aplicará lo dispuesto en la Ley General Tributaria y en la Ordenanza Fiscal General de gestión, liquidación, inspección y recaudación de los ingresos de derecho público de la Diputación Provincial de Badajoz.</w:t>
      </w:r>
    </w:p>
    <w:p w:rsidR="00E8214F" w:rsidRPr="00E649A9" w:rsidRDefault="00E8214F" w:rsidP="00E8214F">
      <w:pPr>
        <w:tabs>
          <w:tab w:val="left" w:pos="630"/>
          <w:tab w:val="left" w:pos="990"/>
        </w:tabs>
        <w:spacing w:before="240" w:after="0"/>
        <w:jc w:val="both"/>
        <w:rPr>
          <w:rFonts w:ascii="Open Sans" w:hAnsi="Open Sans" w:cs="Open Sans"/>
          <w:b/>
          <w:bCs/>
          <w:lang w:val="es-ES_tradnl"/>
        </w:rPr>
      </w:pPr>
      <w:r w:rsidRPr="00E649A9">
        <w:rPr>
          <w:rFonts w:ascii="Open Sans" w:hAnsi="Open Sans" w:cs="Open Sans"/>
          <w:b/>
          <w:bCs/>
          <w:lang w:val="es-ES_tradnl"/>
        </w:rPr>
        <w:t>DISPOSICIÓN ADICIONAL ÚNICA.  MODIFICACIONES DEL IMPUESTO.</w:t>
      </w:r>
    </w:p>
    <w:p w:rsidR="00E8214F" w:rsidRPr="00E649A9" w:rsidRDefault="00E8214F" w:rsidP="00E8214F">
      <w:pPr>
        <w:tabs>
          <w:tab w:val="left" w:pos="630"/>
          <w:tab w:val="left" w:pos="990"/>
        </w:tabs>
        <w:spacing w:after="0"/>
        <w:jc w:val="both"/>
        <w:rPr>
          <w:rFonts w:ascii="Open Sans" w:hAnsi="Open Sans" w:cs="Open Sans"/>
          <w:lang w:val="es-ES_tradnl"/>
        </w:rPr>
      </w:pPr>
      <w:r w:rsidRPr="00E649A9">
        <w:rPr>
          <w:rFonts w:ascii="Open Sans" w:hAnsi="Open Sans" w:cs="Open Sans"/>
          <w:lang w:val="es-ES_tradnl"/>
        </w:rPr>
        <w:lastRenderedPageBreak/>
        <w:t>Las modificaciones que se introduzcan en la regulación del Impuesto, por las Leyes de Presupuestos Generales del Estado o por cualesquiera otras leyes o disposiciones, y que resulten de aplicación directa, producirán, en su caso, la correspondiente modificación tácita de la presente Ordenanza fiscal.</w:t>
      </w:r>
    </w:p>
    <w:p w:rsidR="00E8214F" w:rsidRPr="00E649A9" w:rsidRDefault="00E8214F" w:rsidP="00E8214F">
      <w:pPr>
        <w:tabs>
          <w:tab w:val="left" w:pos="630"/>
          <w:tab w:val="left" w:pos="990"/>
        </w:tabs>
        <w:spacing w:before="240" w:after="0"/>
        <w:jc w:val="both"/>
        <w:rPr>
          <w:rFonts w:ascii="Open Sans" w:hAnsi="Open Sans" w:cs="Open Sans"/>
          <w:b/>
          <w:bCs/>
          <w:lang w:val="es-ES_tradnl"/>
        </w:rPr>
      </w:pPr>
      <w:r w:rsidRPr="00E649A9">
        <w:rPr>
          <w:rFonts w:ascii="Open Sans" w:hAnsi="Open Sans" w:cs="Open Sans"/>
          <w:b/>
          <w:bCs/>
          <w:lang w:val="es-ES_tradnl"/>
        </w:rPr>
        <w:t>DISPOSICIÓN FINAL ÚNICA.  APROBACIÓN, ENTRADA EN VIGOR Y MODIFICACIÓN DE LA ORDENANZA FISCAL.</w:t>
      </w:r>
    </w:p>
    <w:p w:rsidR="00E8214F" w:rsidRPr="00E649A9" w:rsidRDefault="00E8214F" w:rsidP="00E8214F">
      <w:pPr>
        <w:tabs>
          <w:tab w:val="left" w:pos="0"/>
          <w:tab w:val="left" w:pos="540"/>
          <w:tab w:val="left" w:pos="720"/>
        </w:tabs>
        <w:spacing w:after="0"/>
        <w:jc w:val="both"/>
        <w:rPr>
          <w:rFonts w:ascii="Open Sans" w:eastAsia="Times New Roman" w:hAnsi="Open Sans" w:cs="Open Sans"/>
          <w:lang w:eastAsia="es-ES"/>
        </w:rPr>
      </w:pPr>
      <w:r w:rsidRPr="00E649A9">
        <w:rPr>
          <w:rFonts w:ascii="Open Sans" w:eastAsia="Times New Roman" w:hAnsi="Open Sans" w:cs="Open Sans"/>
          <w:lang w:eastAsia="es-ES"/>
        </w:rPr>
        <w:t xml:space="preserve">La presente Ordenanza fiscal, aprobada por el Pleno de este Ayuntamiento en sesión celebrada </w:t>
      </w:r>
      <w:proofErr w:type="gramStart"/>
      <w:r w:rsidRPr="00E649A9">
        <w:rPr>
          <w:rFonts w:ascii="Open Sans" w:eastAsia="Times New Roman" w:hAnsi="Open Sans" w:cs="Open Sans"/>
          <w:lang w:eastAsia="es-ES"/>
        </w:rPr>
        <w:t xml:space="preserve">el </w:t>
      </w:r>
      <w:r w:rsidRPr="00E649A9">
        <w:rPr>
          <w:rFonts w:ascii="Open Sans" w:eastAsia="Times New Roman" w:hAnsi="Open Sans" w:cs="Open Sans"/>
          <w:highlight w:val="red"/>
          <w:lang w:eastAsia="es-ES"/>
        </w:rPr>
        <w:t>...</w:t>
      </w:r>
      <w:proofErr w:type="gramEnd"/>
      <w:r w:rsidRPr="00E649A9">
        <w:rPr>
          <w:rFonts w:ascii="Open Sans" w:eastAsia="Times New Roman" w:hAnsi="Open Sans" w:cs="Open Sans"/>
          <w:lang w:eastAsia="es-ES"/>
        </w:rPr>
        <w:t xml:space="preserve"> de </w:t>
      </w:r>
      <w:r w:rsidRPr="00E649A9">
        <w:rPr>
          <w:rFonts w:ascii="Open Sans" w:eastAsia="Times New Roman" w:hAnsi="Open Sans" w:cs="Open Sans"/>
          <w:highlight w:val="red"/>
          <w:lang w:eastAsia="es-ES"/>
        </w:rPr>
        <w:t>...</w:t>
      </w:r>
      <w:r w:rsidRPr="00E649A9">
        <w:rPr>
          <w:rFonts w:ascii="Open Sans" w:eastAsia="Times New Roman" w:hAnsi="Open Sans" w:cs="Open Sans"/>
          <w:lang w:eastAsia="es-ES"/>
        </w:rPr>
        <w:t xml:space="preserve"> de </w:t>
      </w:r>
      <w:r w:rsidRPr="00E649A9">
        <w:rPr>
          <w:rFonts w:ascii="Open Sans" w:eastAsia="Times New Roman" w:hAnsi="Open Sans" w:cs="Open Sans"/>
          <w:highlight w:val="red"/>
          <w:lang w:eastAsia="es-ES"/>
        </w:rPr>
        <w:t>...</w:t>
      </w:r>
      <w:r w:rsidRPr="00E649A9">
        <w:rPr>
          <w:rFonts w:ascii="Open Sans" w:eastAsia="Times New Roman" w:hAnsi="Open Sans" w:cs="Open Sans"/>
          <w:lang w:eastAsia="es-ES"/>
        </w:rPr>
        <w:t>,</w:t>
      </w:r>
      <w:r w:rsidRPr="00E649A9">
        <w:rPr>
          <w:rFonts w:ascii="Open Sans" w:eastAsia="Times New Roman" w:hAnsi="Open Sans" w:cs="Open Sans"/>
          <w:vertAlign w:val="superscript"/>
          <w:lang w:eastAsia="es-ES"/>
        </w:rPr>
        <w:footnoteReference w:id="5"/>
      </w:r>
      <w:r w:rsidRPr="00E649A9">
        <w:rPr>
          <w:rFonts w:ascii="Open Sans" w:eastAsia="Times New Roman" w:hAnsi="Open Sans" w:cs="Open Sans"/>
          <w:lang w:eastAsia="es-ES"/>
        </w:rPr>
        <w:t xml:space="preserve"> comenzará a regir con efectos desde el </w:t>
      </w:r>
      <w:r w:rsidRPr="00E649A9">
        <w:rPr>
          <w:rFonts w:ascii="Open Sans" w:eastAsia="Times New Roman" w:hAnsi="Open Sans" w:cs="Open Sans"/>
          <w:highlight w:val="red"/>
          <w:lang w:eastAsia="es-ES"/>
        </w:rPr>
        <w:t>…</w:t>
      </w:r>
      <w:r w:rsidRPr="00E649A9">
        <w:rPr>
          <w:rFonts w:ascii="Open Sans" w:eastAsia="Times New Roman" w:hAnsi="Open Sans" w:cs="Open Sans"/>
          <w:lang w:eastAsia="es-ES"/>
        </w:rPr>
        <w:t xml:space="preserve"> de </w:t>
      </w:r>
      <w:r w:rsidRPr="00E649A9">
        <w:rPr>
          <w:rFonts w:ascii="Open Sans" w:eastAsia="Times New Roman" w:hAnsi="Open Sans" w:cs="Open Sans"/>
          <w:highlight w:val="red"/>
          <w:lang w:eastAsia="es-ES"/>
        </w:rPr>
        <w:t>...</w:t>
      </w:r>
      <w:r w:rsidRPr="00E649A9">
        <w:rPr>
          <w:rFonts w:ascii="Open Sans" w:eastAsia="Times New Roman" w:hAnsi="Open Sans" w:cs="Open Sans"/>
          <w:lang w:eastAsia="es-ES"/>
        </w:rPr>
        <w:t xml:space="preserve"> de </w:t>
      </w:r>
      <w:r w:rsidRPr="00E649A9">
        <w:rPr>
          <w:rFonts w:ascii="Open Sans" w:eastAsia="Times New Roman" w:hAnsi="Open Sans" w:cs="Open Sans"/>
          <w:highlight w:val="red"/>
          <w:lang w:eastAsia="es-ES"/>
        </w:rPr>
        <w:t>...</w:t>
      </w:r>
      <w:r w:rsidRPr="00E649A9">
        <w:rPr>
          <w:rFonts w:ascii="Open Sans" w:eastAsia="Times New Roman" w:hAnsi="Open Sans" w:cs="Open Sans"/>
          <w:vertAlign w:val="superscript"/>
          <w:lang w:eastAsia="es-ES"/>
        </w:rPr>
        <w:footnoteReference w:id="6"/>
      </w:r>
      <w:r w:rsidRPr="00E649A9">
        <w:rPr>
          <w:rFonts w:ascii="Open Sans" w:eastAsia="Times New Roman" w:hAnsi="Open Sans" w:cs="Open Sans"/>
          <w:lang w:eastAsia="es-ES"/>
        </w:rPr>
        <w:t>, y continuará vigente en tanto no se acuerde su modificación o derogación.  En caso de modificación parcial de esta Ordenanza fiscal, los artículos no modificados continuarán vigentes.</w:t>
      </w:r>
      <w:r>
        <w:rPr>
          <w:rStyle w:val="Refdenotaalpie"/>
          <w:rFonts w:ascii="Open Sans" w:eastAsia="Times New Roman" w:hAnsi="Open Sans" w:cs="Open Sans"/>
          <w:lang w:eastAsia="es-ES"/>
        </w:rPr>
        <w:footnoteReference w:id="7"/>
      </w:r>
    </w:p>
    <w:p w:rsidR="00C67F51" w:rsidRPr="00E8214F" w:rsidRDefault="00C67F51" w:rsidP="00E8214F">
      <w:bookmarkStart w:id="0" w:name="_GoBack"/>
      <w:bookmarkEnd w:id="0"/>
    </w:p>
    <w:sectPr w:rsidR="00C67F51" w:rsidRPr="00E8214F" w:rsidSect="00F25CFB">
      <w:headerReference w:type="default" r:id="rId9"/>
      <w:footerReference w:type="default" r:id="rId10"/>
      <w:pgSz w:w="11906" w:h="16838"/>
      <w:pgMar w:top="1985" w:right="1701" w:bottom="1417" w:left="1701" w:header="708" w:footer="1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F29" w:rsidRDefault="00750F29" w:rsidP="00B364C2">
      <w:pPr>
        <w:spacing w:after="0" w:line="240" w:lineRule="auto"/>
      </w:pPr>
      <w:r>
        <w:separator/>
      </w:r>
    </w:p>
  </w:endnote>
  <w:endnote w:type="continuationSeparator" w:id="0">
    <w:p w:rsidR="00750F29" w:rsidRDefault="00750F29" w:rsidP="00B36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 Sans">
    <w:altName w:val="DejaVu Sans Condensed"/>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0488351"/>
      <w:docPartObj>
        <w:docPartGallery w:val="Page Numbers (Bottom of Page)"/>
        <w:docPartUnique/>
      </w:docPartObj>
    </w:sdtPr>
    <w:sdtEndPr/>
    <w:sdtContent>
      <w:p w:rsidR="00F25CFB" w:rsidRDefault="00F25CFB" w:rsidP="00F25CFB">
        <w:pPr>
          <w:pStyle w:val="Piedepgina"/>
          <w:tabs>
            <w:tab w:val="clear" w:pos="4252"/>
            <w:tab w:val="clear" w:pos="8504"/>
            <w:tab w:val="left" w:pos="4739"/>
          </w:tabs>
          <w:jc w:val="center"/>
          <w:rPr>
            <w:rFonts w:ascii="Open Sans" w:hAnsi="Open Sans" w:cs="Open Sans"/>
            <w:sz w:val="20"/>
          </w:rPr>
        </w:pPr>
        <w:r w:rsidRPr="00C430F8">
          <w:rPr>
            <w:rFonts w:ascii="Open Sans" w:hAnsi="Open Sans" w:cs="Open Sans"/>
            <w:noProof/>
            <w:sz w:val="20"/>
            <w:lang w:eastAsia="es-ES"/>
          </w:rPr>
          <mc:AlternateContent>
            <mc:Choice Requires="wps">
              <w:drawing>
                <wp:anchor distT="0" distB="0" distL="114300" distR="114300" simplePos="0" relativeHeight="251660288" behindDoc="0" locked="0" layoutInCell="1" allowOverlap="1" wp14:anchorId="71AF8D2B" wp14:editId="76C7ACC5">
                  <wp:simplePos x="0" y="0"/>
                  <wp:positionH relativeFrom="column">
                    <wp:posOffset>4386</wp:posOffset>
                  </wp:positionH>
                  <wp:positionV relativeFrom="paragraph">
                    <wp:posOffset>-85858</wp:posOffset>
                  </wp:positionV>
                  <wp:extent cx="5379617" cy="0"/>
                  <wp:effectExtent l="0" t="0" r="12065" b="19050"/>
                  <wp:wrapNone/>
                  <wp:docPr id="2" name="2 Conector recto"/>
                  <wp:cNvGraphicFramePr/>
                  <a:graphic xmlns:a="http://schemas.openxmlformats.org/drawingml/2006/main">
                    <a:graphicData uri="http://schemas.microsoft.com/office/word/2010/wordprocessingShape">
                      <wps:wsp>
                        <wps:cNvCnPr/>
                        <wps:spPr>
                          <a:xfrm>
                            <a:off x="0" y="0"/>
                            <a:ext cx="5379617" cy="0"/>
                          </a:xfrm>
                          <a:prstGeom prst="line">
                            <a:avLst/>
                          </a:prstGeom>
                          <a:ln>
                            <a:solidFill>
                              <a:srgbClr val="8E602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2 Conector recto"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6.75pt" to="423.9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" strokecolor="#8e6022"/>
              </w:pict>
            </mc:Fallback>
          </mc:AlternateContent>
        </w:r>
        <w:r>
          <w:rPr>
            <w:rFonts w:ascii="Open Sans" w:hAnsi="Open Sans" w:cs="Open Sans"/>
            <w:noProof/>
            <w:sz w:val="20"/>
            <w:lang w:eastAsia="es-ES"/>
          </w:rPr>
          <w:t>Modelario</w:t>
        </w:r>
        <w:r>
          <w:rPr>
            <w:rFonts w:ascii="Open Sans" w:hAnsi="Open Sans" w:cs="Open Sans"/>
            <w:sz w:val="20"/>
          </w:rPr>
          <w:t xml:space="preserve"> de Ordenanzas Fiscales  </w:t>
        </w:r>
      </w:p>
      <w:p w:rsidR="00B364C2" w:rsidRPr="00F25CFB" w:rsidRDefault="00F25CFB" w:rsidP="00F25CFB">
        <w:pPr>
          <w:pStyle w:val="Piedepgina"/>
          <w:tabs>
            <w:tab w:val="clear" w:pos="4252"/>
            <w:tab w:val="clear" w:pos="8504"/>
            <w:tab w:val="left" w:pos="4739"/>
          </w:tabs>
          <w:jc w:val="center"/>
          <w:rPr>
            <w:rFonts w:ascii="Open Sans" w:hAnsi="Open Sans" w:cs="Open Sans"/>
            <w:sz w:val="18"/>
          </w:rPr>
        </w:pPr>
        <w:r w:rsidRPr="001F73E4">
          <w:rPr>
            <w:rFonts w:ascii="Open Sans" w:hAnsi="Open Sans" w:cs="Open Sans"/>
            <w:sz w:val="18"/>
          </w:rPr>
          <w:fldChar w:fldCharType="begin"/>
        </w:r>
        <w:r w:rsidRPr="001F73E4">
          <w:rPr>
            <w:rFonts w:ascii="Open Sans" w:hAnsi="Open Sans" w:cs="Open Sans"/>
            <w:sz w:val="18"/>
          </w:rPr>
          <w:instrText>PAGE   \* MERGEFORMAT</w:instrText>
        </w:r>
        <w:r w:rsidRPr="001F73E4">
          <w:rPr>
            <w:rFonts w:ascii="Open Sans" w:hAnsi="Open Sans" w:cs="Open Sans"/>
            <w:sz w:val="18"/>
          </w:rPr>
          <w:fldChar w:fldCharType="separate"/>
        </w:r>
        <w:r w:rsidR="00E8214F" w:rsidRPr="00E8214F">
          <w:rPr>
            <w:rFonts w:ascii="Open Sans" w:hAnsi="Open Sans" w:cs="Open Sans"/>
            <w:b/>
            <w:bCs/>
            <w:noProof/>
            <w:sz w:val="18"/>
          </w:rPr>
          <w:t>1</w:t>
        </w:r>
        <w:r w:rsidRPr="001F73E4">
          <w:rPr>
            <w:rFonts w:ascii="Open Sans" w:hAnsi="Open Sans" w:cs="Open Sans"/>
            <w:b/>
            <w:bCs/>
            <w:sz w:val="18"/>
          </w:rPr>
          <w:fldChar w:fldCharType="end"/>
        </w:r>
        <w:r w:rsidRPr="001F73E4">
          <w:rPr>
            <w:rFonts w:ascii="Open Sans" w:hAnsi="Open Sans" w:cs="Open Sans"/>
            <w:b/>
            <w:bCs/>
            <w:sz w:val="18"/>
          </w:rPr>
          <w:t xml:space="preserve"> </w:t>
        </w:r>
        <w:r w:rsidRPr="001F73E4">
          <w:rPr>
            <w:rFonts w:ascii="Open Sans" w:hAnsi="Open Sans" w:cs="Open Sans"/>
            <w:sz w:val="18"/>
          </w:rPr>
          <w:t>|</w:t>
        </w:r>
        <w:r w:rsidRPr="001F73E4">
          <w:rPr>
            <w:rFonts w:ascii="Open Sans" w:hAnsi="Open Sans" w:cs="Open Sans"/>
            <w:b/>
            <w:bCs/>
            <w:sz w:val="18"/>
          </w:rPr>
          <w:t xml:space="preserve"> </w:t>
        </w:r>
        <w:r w:rsidRPr="001F73E4">
          <w:rPr>
            <w:rFonts w:ascii="Open Sans" w:hAnsi="Open Sans" w:cs="Open Sans"/>
            <w:color w:val="808080" w:themeColor="background1" w:themeShade="80"/>
            <w:spacing w:val="60"/>
            <w:sz w:val="18"/>
          </w:rPr>
          <w:t>Página</w:t>
        </w:r>
      </w:p>
    </w:sdtContent>
  </w:sdt>
  <w:p w:rsidR="00B364C2" w:rsidRDefault="00B364C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F29" w:rsidRDefault="00750F29" w:rsidP="00B364C2">
      <w:pPr>
        <w:spacing w:after="0" w:line="240" w:lineRule="auto"/>
      </w:pPr>
      <w:r>
        <w:separator/>
      </w:r>
    </w:p>
  </w:footnote>
  <w:footnote w:type="continuationSeparator" w:id="0">
    <w:p w:rsidR="00750F29" w:rsidRDefault="00750F29" w:rsidP="00B364C2">
      <w:pPr>
        <w:spacing w:after="0" w:line="240" w:lineRule="auto"/>
      </w:pPr>
      <w:r>
        <w:continuationSeparator/>
      </w:r>
    </w:p>
  </w:footnote>
  <w:footnote w:id="1">
    <w:p w:rsidR="00E8214F" w:rsidRPr="000A6930" w:rsidRDefault="00E8214F" w:rsidP="00E8214F">
      <w:pPr>
        <w:pStyle w:val="Textonotapie"/>
        <w:rPr>
          <w:rFonts w:ascii="Open Sans" w:hAnsi="Open Sans" w:cs="Open Sans"/>
          <w:sz w:val="18"/>
          <w:szCs w:val="18"/>
        </w:rPr>
      </w:pPr>
      <w:r w:rsidRPr="000A6930">
        <w:rPr>
          <w:rStyle w:val="Refdenotaalpie"/>
          <w:rFonts w:ascii="Open Sans" w:hAnsi="Open Sans" w:cs="Open Sans"/>
          <w:sz w:val="18"/>
          <w:szCs w:val="18"/>
        </w:rPr>
        <w:footnoteRef/>
      </w:r>
      <w:r w:rsidRPr="000A6930">
        <w:rPr>
          <w:rFonts w:ascii="Open Sans" w:hAnsi="Open Sans" w:cs="Open Sans"/>
          <w:sz w:val="18"/>
          <w:szCs w:val="18"/>
        </w:rPr>
        <w:t xml:space="preserve"> El Ayuntamiento tiene potestad para fijar un </w:t>
      </w:r>
      <w:r w:rsidRPr="000A6930">
        <w:rPr>
          <w:rFonts w:ascii="Open Sans" w:hAnsi="Open Sans" w:cs="Open Sans"/>
          <w:b/>
          <w:sz w:val="18"/>
          <w:szCs w:val="18"/>
        </w:rPr>
        <w:t>coeficiente entre 1-2</w:t>
      </w:r>
      <w:r w:rsidRPr="000A6930">
        <w:rPr>
          <w:rFonts w:ascii="Open Sans" w:hAnsi="Open Sans" w:cs="Open Sans"/>
          <w:sz w:val="18"/>
          <w:szCs w:val="18"/>
        </w:rPr>
        <w:t>.</w:t>
      </w:r>
    </w:p>
  </w:footnote>
  <w:footnote w:id="2">
    <w:p w:rsidR="00E8214F" w:rsidRPr="000A6930" w:rsidRDefault="00E8214F" w:rsidP="00E8214F">
      <w:pPr>
        <w:pStyle w:val="Textonotapie"/>
        <w:rPr>
          <w:rFonts w:ascii="Open Sans" w:hAnsi="Open Sans" w:cs="Open Sans"/>
          <w:sz w:val="18"/>
          <w:szCs w:val="18"/>
        </w:rPr>
      </w:pPr>
      <w:r w:rsidRPr="000A6930">
        <w:rPr>
          <w:rStyle w:val="Refdenotaalpie"/>
          <w:rFonts w:ascii="Open Sans" w:hAnsi="Open Sans" w:cs="Open Sans"/>
          <w:sz w:val="18"/>
          <w:szCs w:val="18"/>
        </w:rPr>
        <w:footnoteRef/>
      </w:r>
      <w:r w:rsidRPr="000A6930">
        <w:rPr>
          <w:rFonts w:ascii="Open Sans" w:hAnsi="Open Sans" w:cs="Open Sans"/>
          <w:sz w:val="18"/>
          <w:szCs w:val="18"/>
        </w:rPr>
        <w:t xml:space="preserve"> Todas las bonificaciones relativas a este impuesto tienen carácter potestativo de imposición.</w:t>
      </w:r>
    </w:p>
  </w:footnote>
  <w:footnote w:id="3">
    <w:p w:rsidR="00E8214F" w:rsidRPr="000A6930" w:rsidRDefault="00E8214F" w:rsidP="00E8214F">
      <w:pPr>
        <w:pStyle w:val="Textonotapie"/>
        <w:rPr>
          <w:rFonts w:ascii="Open Sans" w:hAnsi="Open Sans" w:cs="Open Sans"/>
          <w:sz w:val="18"/>
          <w:szCs w:val="18"/>
        </w:rPr>
      </w:pPr>
      <w:r w:rsidRPr="000A6930">
        <w:rPr>
          <w:rStyle w:val="Refdenotaalpie"/>
          <w:rFonts w:ascii="Open Sans" w:hAnsi="Open Sans" w:cs="Open Sans"/>
          <w:sz w:val="18"/>
          <w:szCs w:val="18"/>
        </w:rPr>
        <w:footnoteRef/>
      </w:r>
      <w:r w:rsidRPr="000A6930">
        <w:rPr>
          <w:rFonts w:ascii="Open Sans" w:hAnsi="Open Sans" w:cs="Open Sans"/>
          <w:sz w:val="18"/>
          <w:szCs w:val="18"/>
        </w:rPr>
        <w:t xml:space="preserve"> El Ayuntamiento tiene potestad para fijar una bonificación de</w:t>
      </w:r>
      <w:r w:rsidRPr="000A6930">
        <w:rPr>
          <w:rFonts w:ascii="Open Sans" w:hAnsi="Open Sans" w:cs="Open Sans"/>
          <w:b/>
          <w:sz w:val="18"/>
          <w:szCs w:val="18"/>
        </w:rPr>
        <w:t xml:space="preserve"> hasta el 100%.</w:t>
      </w:r>
      <w:r w:rsidRPr="000A6930">
        <w:rPr>
          <w:rFonts w:ascii="Open Sans" w:hAnsi="Open Sans" w:cs="Open Sans"/>
          <w:sz w:val="18"/>
          <w:szCs w:val="18"/>
        </w:rPr>
        <w:t xml:space="preserve"> No obstante, debido a las modificaciones legislativas y vista la corriente medioambiental que sigue este impuesto, sería congruente la no aprobación de esta bonificación o sustitución por otras bonificaciones sobre aquellos vehículos que contribuyen al bienestar medioambiental, como son las reguladas en el apartado b).</w:t>
      </w:r>
    </w:p>
  </w:footnote>
  <w:footnote w:id="4">
    <w:p w:rsidR="00E8214F" w:rsidRPr="000A6930" w:rsidRDefault="00E8214F" w:rsidP="00E8214F">
      <w:pPr>
        <w:pStyle w:val="Textonotapie"/>
        <w:rPr>
          <w:rFonts w:ascii="Open Sans" w:hAnsi="Open Sans" w:cs="Open Sans"/>
          <w:sz w:val="18"/>
          <w:szCs w:val="18"/>
        </w:rPr>
      </w:pPr>
      <w:r w:rsidRPr="000A6930">
        <w:rPr>
          <w:rStyle w:val="Refdenotaalpie"/>
          <w:rFonts w:ascii="Open Sans" w:hAnsi="Open Sans" w:cs="Open Sans"/>
          <w:sz w:val="18"/>
          <w:szCs w:val="18"/>
        </w:rPr>
        <w:footnoteRef/>
      </w:r>
      <w:r w:rsidRPr="000A6930">
        <w:rPr>
          <w:rFonts w:ascii="Open Sans" w:hAnsi="Open Sans" w:cs="Open Sans"/>
          <w:sz w:val="18"/>
          <w:szCs w:val="18"/>
        </w:rPr>
        <w:t xml:space="preserve"> Insertar </w:t>
      </w:r>
      <w:r w:rsidRPr="000A6930">
        <w:rPr>
          <w:rFonts w:ascii="Open Sans" w:hAnsi="Open Sans" w:cs="Open Sans"/>
          <w:b/>
          <w:sz w:val="18"/>
          <w:szCs w:val="18"/>
        </w:rPr>
        <w:t xml:space="preserve">fecha </w:t>
      </w:r>
      <w:r>
        <w:rPr>
          <w:rFonts w:ascii="Open Sans" w:hAnsi="Open Sans" w:cs="Open Sans"/>
          <w:b/>
          <w:sz w:val="18"/>
          <w:szCs w:val="18"/>
        </w:rPr>
        <w:t>publicación en el BOP del acuerdo de delegación de competencias en el OAR</w:t>
      </w:r>
      <w:r w:rsidRPr="000A6930">
        <w:rPr>
          <w:rFonts w:ascii="Open Sans" w:hAnsi="Open Sans" w:cs="Open Sans"/>
          <w:sz w:val="18"/>
          <w:szCs w:val="18"/>
        </w:rPr>
        <w:t>.</w:t>
      </w:r>
    </w:p>
  </w:footnote>
  <w:footnote w:id="5">
    <w:p w:rsidR="00E8214F" w:rsidRPr="000A6930" w:rsidRDefault="00E8214F" w:rsidP="00E8214F">
      <w:pPr>
        <w:pStyle w:val="Textonotapie"/>
        <w:rPr>
          <w:rFonts w:ascii="Open Sans" w:hAnsi="Open Sans" w:cs="Open Sans"/>
          <w:sz w:val="18"/>
          <w:szCs w:val="18"/>
        </w:rPr>
      </w:pPr>
      <w:r w:rsidRPr="000A6930">
        <w:rPr>
          <w:rStyle w:val="Refdenotaalpie"/>
          <w:rFonts w:ascii="Open Sans" w:hAnsi="Open Sans" w:cs="Open Sans"/>
          <w:sz w:val="18"/>
          <w:szCs w:val="18"/>
        </w:rPr>
        <w:footnoteRef/>
      </w:r>
      <w:r w:rsidRPr="000A6930">
        <w:rPr>
          <w:rFonts w:ascii="Open Sans" w:hAnsi="Open Sans" w:cs="Open Sans"/>
          <w:sz w:val="18"/>
          <w:szCs w:val="18"/>
        </w:rPr>
        <w:t xml:space="preserve"> Insertar </w:t>
      </w:r>
      <w:r w:rsidRPr="000A6930">
        <w:rPr>
          <w:rFonts w:ascii="Open Sans" w:hAnsi="Open Sans" w:cs="Open Sans"/>
          <w:b/>
          <w:sz w:val="18"/>
          <w:szCs w:val="18"/>
        </w:rPr>
        <w:t>fecha de celebración del Pleno</w:t>
      </w:r>
      <w:r w:rsidRPr="000A6930">
        <w:rPr>
          <w:rFonts w:ascii="Open Sans" w:hAnsi="Open Sans" w:cs="Open Sans"/>
          <w:sz w:val="18"/>
          <w:szCs w:val="18"/>
        </w:rPr>
        <w:t xml:space="preserve"> por el que se aprueba la presente O.F.</w:t>
      </w:r>
    </w:p>
  </w:footnote>
  <w:footnote w:id="6">
    <w:p w:rsidR="00E8214F" w:rsidRPr="000A6930" w:rsidRDefault="00E8214F" w:rsidP="00E8214F">
      <w:pPr>
        <w:pStyle w:val="Textonotapie"/>
        <w:rPr>
          <w:rFonts w:ascii="Open Sans" w:hAnsi="Open Sans" w:cs="Open Sans"/>
          <w:sz w:val="18"/>
          <w:szCs w:val="18"/>
        </w:rPr>
      </w:pPr>
      <w:r w:rsidRPr="000A6930">
        <w:rPr>
          <w:rStyle w:val="Refdenotaalpie"/>
          <w:rFonts w:ascii="Open Sans" w:hAnsi="Open Sans" w:cs="Open Sans"/>
          <w:sz w:val="18"/>
          <w:szCs w:val="18"/>
        </w:rPr>
        <w:footnoteRef/>
      </w:r>
      <w:r w:rsidRPr="000A6930">
        <w:rPr>
          <w:rFonts w:ascii="Open Sans" w:hAnsi="Open Sans" w:cs="Open Sans"/>
          <w:sz w:val="18"/>
          <w:szCs w:val="18"/>
        </w:rPr>
        <w:t xml:space="preserve"> Insertar </w:t>
      </w:r>
      <w:r w:rsidRPr="000A6930">
        <w:rPr>
          <w:rFonts w:ascii="Open Sans" w:hAnsi="Open Sans" w:cs="Open Sans"/>
          <w:b/>
          <w:sz w:val="18"/>
          <w:szCs w:val="18"/>
        </w:rPr>
        <w:t>fecha de entrada en vigor</w:t>
      </w:r>
      <w:r w:rsidRPr="000A6930">
        <w:rPr>
          <w:rFonts w:ascii="Open Sans" w:hAnsi="Open Sans" w:cs="Open Sans"/>
          <w:sz w:val="18"/>
          <w:szCs w:val="18"/>
        </w:rPr>
        <w:t xml:space="preserve"> de la presente Ordenanza Fiscal.</w:t>
      </w:r>
    </w:p>
  </w:footnote>
  <w:footnote w:id="7">
    <w:p w:rsidR="00E8214F" w:rsidRDefault="00E8214F" w:rsidP="00E8214F">
      <w:pPr>
        <w:pStyle w:val="Textonotapie"/>
      </w:pPr>
      <w:r>
        <w:rPr>
          <w:rStyle w:val="Refdenotaalpie"/>
        </w:rPr>
        <w:footnoteRef/>
      </w:r>
      <w:r>
        <w:t xml:space="preserve"> </w:t>
      </w:r>
      <w:r w:rsidRPr="00E83927">
        <w:rPr>
          <w:rFonts w:ascii="Open Sans" w:hAnsi="Open Sans" w:cs="Open Sans"/>
          <w:sz w:val="18"/>
          <w:szCs w:val="18"/>
        </w:rPr>
        <w:t>No obstante, desde el OAR se recomienda que cuando se modifiquen determinados artículos de la Ordenanza Fiscal, se proceda a publicar de nuevo el texto completo de la Ordenanza</w:t>
      </w:r>
      <w:r>
        <w:rPr>
          <w:rFonts w:ascii="Open Sans" w:hAnsi="Open Sans" w:cs="Open Sans"/>
          <w:sz w:val="18"/>
          <w:szCs w:val="18"/>
        </w:rPr>
        <w:t xml:space="preserve"> Fiscal reguladora del tributo</w:t>
      </w:r>
      <w:r w:rsidRPr="00E83927">
        <w:rPr>
          <w:rFonts w:ascii="Open Sans" w:hAnsi="Open Sans" w:cs="Open Sans"/>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4C2" w:rsidRPr="00B364C2" w:rsidRDefault="00B364C2" w:rsidP="00B364C2">
    <w:pPr>
      <w:pStyle w:val="Encabezado"/>
      <w:jc w:val="right"/>
      <w:rPr>
        <w:b/>
        <w:color w:val="7F7F7F" w:themeColor="text1" w:themeTint="80"/>
      </w:rPr>
    </w:pPr>
    <w:r w:rsidRPr="00B364C2">
      <w:rPr>
        <w:noProof/>
        <w:color w:val="7F7F7F" w:themeColor="text1" w:themeTint="80"/>
        <w:lang w:eastAsia="es-ES"/>
      </w:rPr>
      <w:drawing>
        <wp:anchor distT="0" distB="0" distL="114300" distR="114300" simplePos="0" relativeHeight="251658240" behindDoc="1" locked="0" layoutInCell="1" allowOverlap="1" wp14:anchorId="2476B3B8" wp14:editId="78D954CF">
          <wp:simplePos x="0" y="0"/>
          <wp:positionH relativeFrom="column">
            <wp:posOffset>-70485</wp:posOffset>
          </wp:positionH>
          <wp:positionV relativeFrom="paragraph">
            <wp:posOffset>-268605</wp:posOffset>
          </wp:positionV>
          <wp:extent cx="638175" cy="792217"/>
          <wp:effectExtent l="0" t="0" r="0" b="8255"/>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oar.png"/>
                  <pic:cNvPicPr/>
                </pic:nvPicPr>
                <pic:blipFill>
                  <a:blip r:embed="rId1">
                    <a:extLst>
                      <a:ext uri="{28A0092B-C50C-407E-A947-70E740481C1C}">
                        <a14:useLocalDpi xmlns:a14="http://schemas.microsoft.com/office/drawing/2010/main" val="0"/>
                      </a:ext>
                    </a:extLst>
                  </a:blip>
                  <a:stretch>
                    <a:fillRect/>
                  </a:stretch>
                </pic:blipFill>
                <pic:spPr>
                  <a:xfrm>
                    <a:off x="0" y="0"/>
                    <a:ext cx="638175" cy="792217"/>
                  </a:xfrm>
                  <a:prstGeom prst="rect">
                    <a:avLst/>
                  </a:prstGeom>
                </pic:spPr>
              </pic:pic>
            </a:graphicData>
          </a:graphic>
          <wp14:sizeRelH relativeFrom="page">
            <wp14:pctWidth>0</wp14:pctWidth>
          </wp14:sizeRelH>
          <wp14:sizeRelV relativeFrom="page">
            <wp14:pctHeight>0</wp14:pctHeight>
          </wp14:sizeRelV>
        </wp:anchor>
      </w:drawing>
    </w:r>
    <w:r w:rsidRPr="00B364C2">
      <w:rPr>
        <w:color w:val="7F7F7F" w:themeColor="text1" w:themeTint="80"/>
      </w:rPr>
      <w:t xml:space="preserve"> </w:t>
    </w:r>
    <w:r w:rsidRPr="00B364C2">
      <w:rPr>
        <w:b/>
        <w:color w:val="7F7F7F" w:themeColor="text1" w:themeTint="80"/>
      </w:rPr>
      <w:t xml:space="preserve">MODELO ORDENANZA FISCAL </w:t>
    </w:r>
  </w:p>
  <w:p w:rsidR="00B364C2" w:rsidRPr="00B364C2" w:rsidRDefault="00B364C2" w:rsidP="00B364C2">
    <w:pPr>
      <w:pStyle w:val="Encabezado"/>
      <w:jc w:val="right"/>
      <w:rPr>
        <w:b/>
        <w:color w:val="7F7F7F" w:themeColor="text1" w:themeTint="80"/>
      </w:rPr>
    </w:pPr>
    <w:r w:rsidRPr="00B364C2">
      <w:rPr>
        <w:b/>
        <w:color w:val="7F7F7F" w:themeColor="text1" w:themeTint="80"/>
      </w:rPr>
      <w:t xml:space="preserve">IMPUESTO SOBRE </w:t>
    </w:r>
    <w:r w:rsidR="00E8214F">
      <w:rPr>
        <w:b/>
        <w:color w:val="7F7F7F" w:themeColor="text1" w:themeTint="80"/>
      </w:rPr>
      <w:t>VEHÍCULOS DE TRACCIÓN MECÁNICA</w:t>
    </w:r>
  </w:p>
  <w:p w:rsidR="00B364C2" w:rsidRDefault="00B364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717AB"/>
    <w:multiLevelType w:val="hybridMultilevel"/>
    <w:tmpl w:val="2FCE5F92"/>
    <w:lvl w:ilvl="0" w:tplc="64FA2FEC">
      <w:start w:val="4"/>
      <w:numFmt w:val="bullet"/>
      <w:lvlText w:val="-"/>
      <w:lvlJc w:val="left"/>
      <w:pPr>
        <w:ind w:left="720" w:hanging="360"/>
      </w:pPr>
      <w:rPr>
        <w:rFonts w:ascii="Open Sans" w:eastAsiaTheme="minorHAnsi" w:hAnsi="Open Sans" w:cs="Open Sans" w:hint="default"/>
        <w:color w:val="auto"/>
      </w:rPr>
    </w:lvl>
    <w:lvl w:ilvl="1" w:tplc="64FA2FEC">
      <w:start w:val="4"/>
      <w:numFmt w:val="bullet"/>
      <w:lvlText w:val="-"/>
      <w:lvlJc w:val="left"/>
      <w:pPr>
        <w:ind w:left="1440" w:hanging="360"/>
      </w:pPr>
      <w:rPr>
        <w:rFonts w:ascii="Open Sans" w:eastAsiaTheme="minorHAnsi" w:hAnsi="Open Sans" w:cs="Open San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AB87338"/>
    <w:multiLevelType w:val="hybridMultilevel"/>
    <w:tmpl w:val="DA56CD3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A667F1"/>
    <w:multiLevelType w:val="hybridMultilevel"/>
    <w:tmpl w:val="85BE696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2AB6653"/>
    <w:multiLevelType w:val="hybridMultilevel"/>
    <w:tmpl w:val="8B001C7C"/>
    <w:lvl w:ilvl="0" w:tplc="0C0A0003">
      <w:start w:val="1"/>
      <w:numFmt w:val="bullet"/>
      <w:lvlText w:val="o"/>
      <w:lvlJc w:val="left"/>
      <w:pPr>
        <w:ind w:left="1068" w:hanging="360"/>
      </w:pPr>
      <w:rPr>
        <w:rFonts w:ascii="Courier New" w:hAnsi="Courier New" w:cs="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nsid w:val="173923CF"/>
    <w:multiLevelType w:val="hybridMultilevel"/>
    <w:tmpl w:val="7156801C"/>
    <w:lvl w:ilvl="0" w:tplc="3B42E3F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ACD65D7"/>
    <w:multiLevelType w:val="hybridMultilevel"/>
    <w:tmpl w:val="60564406"/>
    <w:lvl w:ilvl="0" w:tplc="64FA2FEC">
      <w:start w:val="4"/>
      <w:numFmt w:val="bullet"/>
      <w:lvlText w:val="-"/>
      <w:lvlJc w:val="left"/>
      <w:pPr>
        <w:ind w:left="1068" w:hanging="360"/>
      </w:pPr>
      <w:rPr>
        <w:rFonts w:ascii="Open Sans" w:eastAsiaTheme="minorHAnsi" w:hAnsi="Open Sans" w:cs="Open Sans"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nsid w:val="1D8E10AD"/>
    <w:multiLevelType w:val="hybridMultilevel"/>
    <w:tmpl w:val="CEB6D1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F303C10"/>
    <w:multiLevelType w:val="hybridMultilevel"/>
    <w:tmpl w:val="15884120"/>
    <w:lvl w:ilvl="0" w:tplc="64FA2FEC">
      <w:start w:val="4"/>
      <w:numFmt w:val="bullet"/>
      <w:lvlText w:val="-"/>
      <w:lvlJc w:val="left"/>
      <w:pPr>
        <w:ind w:left="1068" w:hanging="360"/>
      </w:pPr>
      <w:rPr>
        <w:rFonts w:ascii="Open Sans" w:eastAsiaTheme="minorHAnsi" w:hAnsi="Open Sans" w:cs="Open Sans" w:hint="default"/>
        <w:color w:val="auto"/>
      </w:rPr>
    </w:lvl>
    <w:lvl w:ilvl="1" w:tplc="0C0A0019">
      <w:start w:val="1"/>
      <w:numFmt w:val="lowerLetter"/>
      <w:lvlText w:val="%2."/>
      <w:lvlJc w:val="left"/>
      <w:pPr>
        <w:ind w:left="1788" w:hanging="360"/>
      </w:pPr>
    </w:lvl>
    <w:lvl w:ilvl="2" w:tplc="C3DED856">
      <w:start w:val="1"/>
      <w:numFmt w:val="lowerLetter"/>
      <w:lvlText w:val="%3)"/>
      <w:lvlJc w:val="left"/>
      <w:pPr>
        <w:ind w:left="2688" w:hanging="360"/>
      </w:pPr>
      <w:rPr>
        <w:rFonts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nsid w:val="2B371517"/>
    <w:multiLevelType w:val="hybridMultilevel"/>
    <w:tmpl w:val="966C3106"/>
    <w:lvl w:ilvl="0" w:tplc="64FA2FEC">
      <w:start w:val="4"/>
      <w:numFmt w:val="bullet"/>
      <w:lvlText w:val="-"/>
      <w:lvlJc w:val="left"/>
      <w:pPr>
        <w:ind w:left="720" w:hanging="360"/>
      </w:pPr>
      <w:rPr>
        <w:rFonts w:ascii="Open Sans" w:eastAsiaTheme="minorHAnsi" w:hAnsi="Open Sans" w:cs="Open San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7127B68"/>
    <w:multiLevelType w:val="hybridMultilevel"/>
    <w:tmpl w:val="573C0A82"/>
    <w:lvl w:ilvl="0" w:tplc="82AEECA8">
      <w:start w:val="4"/>
      <w:numFmt w:val="bullet"/>
      <w:lvlText w:val="-"/>
      <w:lvlJc w:val="left"/>
      <w:pPr>
        <w:ind w:left="720" w:hanging="360"/>
      </w:pPr>
      <w:rPr>
        <w:rFonts w:ascii="Arial" w:eastAsiaTheme="minorHAnsi" w:hAnsi="Arial" w:cs="Arial" w:hint="default"/>
        <w:color w:val="auto"/>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nsid w:val="3B1676F1"/>
    <w:multiLevelType w:val="hybridMultilevel"/>
    <w:tmpl w:val="984E6AD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ADD3603"/>
    <w:multiLevelType w:val="hybridMultilevel"/>
    <w:tmpl w:val="2D428DC8"/>
    <w:lvl w:ilvl="0" w:tplc="C7B890C4">
      <w:start w:val="1"/>
      <w:numFmt w:val="lowerLetter"/>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0EA6468"/>
    <w:multiLevelType w:val="hybridMultilevel"/>
    <w:tmpl w:val="93DE399E"/>
    <w:lvl w:ilvl="0" w:tplc="E612CAE8">
      <w:start w:val="4"/>
      <w:numFmt w:val="bullet"/>
      <w:lvlText w:val="-"/>
      <w:lvlJc w:val="left"/>
      <w:pPr>
        <w:ind w:left="720" w:hanging="360"/>
      </w:pPr>
      <w:rPr>
        <w:rFonts w:ascii="Open Sans" w:eastAsiaTheme="minorHAnsi" w:hAnsi="Open Sans" w:cs="Open Sans" w:hint="default"/>
        <w:color w:val="9BBB59" w:themeColor="accent3"/>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1933043"/>
    <w:multiLevelType w:val="hybridMultilevel"/>
    <w:tmpl w:val="72662216"/>
    <w:lvl w:ilvl="0" w:tplc="0C0A0003">
      <w:start w:val="1"/>
      <w:numFmt w:val="bullet"/>
      <w:lvlText w:val="o"/>
      <w:lvlJc w:val="left"/>
      <w:pPr>
        <w:ind w:left="1428" w:hanging="360"/>
      </w:pPr>
      <w:rPr>
        <w:rFonts w:ascii="Courier New" w:hAnsi="Courier New" w:cs="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nsid w:val="534005F3"/>
    <w:multiLevelType w:val="hybridMultilevel"/>
    <w:tmpl w:val="E2A8E4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E0A5CFD"/>
    <w:multiLevelType w:val="hybridMultilevel"/>
    <w:tmpl w:val="5D061B36"/>
    <w:lvl w:ilvl="0" w:tplc="9D205894">
      <w:start w:val="1"/>
      <w:numFmt w:val="lowerLetter"/>
      <w:lvlText w:val="%1.)"/>
      <w:lvlJc w:val="left"/>
      <w:pPr>
        <w:ind w:left="1068" w:hanging="360"/>
      </w:pPr>
      <w:rPr>
        <w:rFonts w:hint="default"/>
      </w:rPr>
    </w:lvl>
    <w:lvl w:ilvl="1" w:tplc="410492F6">
      <w:start w:val="1"/>
      <w:numFmt w:val="lowerLetter"/>
      <w:lvlText w:val="%2)"/>
      <w:lvlJc w:val="left"/>
      <w:pPr>
        <w:ind w:left="1788" w:hanging="360"/>
      </w:pPr>
      <w:rPr>
        <w:rFonts w:hint="default"/>
      </w:r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6">
    <w:nsid w:val="631D267C"/>
    <w:multiLevelType w:val="hybridMultilevel"/>
    <w:tmpl w:val="5810B160"/>
    <w:lvl w:ilvl="0" w:tplc="64FA2FEC">
      <w:start w:val="4"/>
      <w:numFmt w:val="bullet"/>
      <w:lvlText w:val="-"/>
      <w:lvlJc w:val="left"/>
      <w:pPr>
        <w:ind w:left="1068" w:hanging="360"/>
      </w:pPr>
      <w:rPr>
        <w:rFonts w:ascii="Open Sans" w:eastAsiaTheme="minorHAnsi" w:hAnsi="Open Sans" w:cs="Open Sans"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nsid w:val="63E22CA9"/>
    <w:multiLevelType w:val="hybridMultilevel"/>
    <w:tmpl w:val="BF189BD2"/>
    <w:lvl w:ilvl="0" w:tplc="64FA2FEC">
      <w:start w:val="4"/>
      <w:numFmt w:val="bullet"/>
      <w:lvlText w:val="-"/>
      <w:lvlJc w:val="left"/>
      <w:pPr>
        <w:ind w:left="720" w:hanging="360"/>
      </w:pPr>
      <w:rPr>
        <w:rFonts w:ascii="Open Sans" w:eastAsiaTheme="minorHAnsi" w:hAnsi="Open Sans" w:cs="Open Sans" w:hint="default"/>
        <w:color w:val="auto"/>
      </w:rPr>
    </w:lvl>
    <w:lvl w:ilvl="1" w:tplc="64FA2FEC">
      <w:start w:val="4"/>
      <w:numFmt w:val="bullet"/>
      <w:lvlText w:val="-"/>
      <w:lvlJc w:val="left"/>
      <w:pPr>
        <w:ind w:left="1440" w:hanging="360"/>
      </w:pPr>
      <w:rPr>
        <w:rFonts w:ascii="Open Sans" w:eastAsiaTheme="minorHAnsi" w:hAnsi="Open Sans" w:cs="Open San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7D06D52"/>
    <w:multiLevelType w:val="hybridMultilevel"/>
    <w:tmpl w:val="49EC5378"/>
    <w:lvl w:ilvl="0" w:tplc="64FA2FEC">
      <w:start w:val="4"/>
      <w:numFmt w:val="bullet"/>
      <w:lvlText w:val="-"/>
      <w:lvlJc w:val="left"/>
      <w:pPr>
        <w:ind w:left="1080" w:hanging="360"/>
      </w:pPr>
      <w:rPr>
        <w:rFonts w:ascii="Open Sans" w:eastAsiaTheme="minorHAnsi" w:hAnsi="Open Sans" w:cs="Open Sans"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nsid w:val="6C8D347A"/>
    <w:multiLevelType w:val="hybridMultilevel"/>
    <w:tmpl w:val="EF16A0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FEF62FD"/>
    <w:multiLevelType w:val="hybridMultilevel"/>
    <w:tmpl w:val="880E21D2"/>
    <w:lvl w:ilvl="0" w:tplc="64FA2FEC">
      <w:start w:val="4"/>
      <w:numFmt w:val="bullet"/>
      <w:lvlText w:val="-"/>
      <w:lvlJc w:val="left"/>
      <w:pPr>
        <w:ind w:left="720" w:hanging="360"/>
      </w:pPr>
      <w:rPr>
        <w:rFonts w:ascii="Open Sans" w:eastAsiaTheme="minorHAnsi" w:hAnsi="Open Sans" w:cs="Open Sans" w:hint="default"/>
        <w:color w:val="auto"/>
      </w:rPr>
    </w:lvl>
    <w:lvl w:ilvl="1" w:tplc="82AEECA8">
      <w:start w:val="4"/>
      <w:numFmt w:val="bullet"/>
      <w:lvlText w:val="-"/>
      <w:lvlJc w:val="left"/>
      <w:pPr>
        <w:ind w:left="1440" w:hanging="360"/>
      </w:pPr>
      <w:rPr>
        <w:rFonts w:ascii="Arial" w:eastAsiaTheme="minorHAnsi" w:hAnsi="Arial" w:cs="Aria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75DB232B"/>
    <w:multiLevelType w:val="hybridMultilevel"/>
    <w:tmpl w:val="FF2E40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78121B43"/>
    <w:multiLevelType w:val="hybridMultilevel"/>
    <w:tmpl w:val="30EE7240"/>
    <w:lvl w:ilvl="0" w:tplc="0C0A0003">
      <w:start w:val="1"/>
      <w:numFmt w:val="bullet"/>
      <w:lvlText w:val="o"/>
      <w:lvlJc w:val="left"/>
      <w:pPr>
        <w:ind w:left="1068" w:hanging="360"/>
      </w:pPr>
      <w:rPr>
        <w:rFonts w:ascii="Courier New" w:hAnsi="Courier New" w:cs="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nsid w:val="7A6A75FF"/>
    <w:multiLevelType w:val="hybridMultilevel"/>
    <w:tmpl w:val="FCCE3066"/>
    <w:lvl w:ilvl="0" w:tplc="0F86E89A">
      <w:start w:val="1"/>
      <w:numFmt w:val="lowerLetter"/>
      <w:lvlText w:val="%1)"/>
      <w:lvlJc w:val="left"/>
      <w:pPr>
        <w:ind w:left="720" w:hanging="360"/>
      </w:pPr>
      <w:rPr>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
  </w:num>
  <w:num w:numId="3">
    <w:abstractNumId w:val="10"/>
  </w:num>
  <w:num w:numId="4">
    <w:abstractNumId w:val="17"/>
  </w:num>
  <w:num w:numId="5">
    <w:abstractNumId w:val="11"/>
  </w:num>
  <w:num w:numId="6">
    <w:abstractNumId w:val="2"/>
  </w:num>
  <w:num w:numId="7">
    <w:abstractNumId w:val="6"/>
  </w:num>
  <w:num w:numId="8">
    <w:abstractNumId w:val="4"/>
  </w:num>
  <w:num w:numId="9">
    <w:abstractNumId w:val="22"/>
  </w:num>
  <w:num w:numId="10">
    <w:abstractNumId w:val="8"/>
  </w:num>
  <w:num w:numId="11">
    <w:abstractNumId w:val="0"/>
  </w:num>
  <w:num w:numId="12">
    <w:abstractNumId w:val="7"/>
  </w:num>
  <w:num w:numId="13">
    <w:abstractNumId w:val="3"/>
  </w:num>
  <w:num w:numId="14">
    <w:abstractNumId w:val="13"/>
  </w:num>
  <w:num w:numId="15">
    <w:abstractNumId w:val="23"/>
  </w:num>
  <w:num w:numId="16">
    <w:abstractNumId w:val="5"/>
  </w:num>
  <w:num w:numId="17">
    <w:abstractNumId w:val="18"/>
  </w:num>
  <w:num w:numId="18">
    <w:abstractNumId w:val="20"/>
  </w:num>
  <w:num w:numId="19">
    <w:abstractNumId w:val="16"/>
  </w:num>
  <w:num w:numId="20">
    <w:abstractNumId w:val="14"/>
  </w:num>
  <w:num w:numId="21">
    <w:abstractNumId w:val="15"/>
  </w:num>
  <w:num w:numId="22">
    <w:abstractNumId w:val="21"/>
  </w:num>
  <w:num w:numId="23">
    <w:abstractNumId w:val="19"/>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C2"/>
    <w:rsid w:val="003B474D"/>
    <w:rsid w:val="005E0A2A"/>
    <w:rsid w:val="00750F29"/>
    <w:rsid w:val="00B364C2"/>
    <w:rsid w:val="00C67F51"/>
    <w:rsid w:val="00E8214F"/>
    <w:rsid w:val="00F25C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14F"/>
  </w:style>
  <w:style w:type="paragraph" w:styleId="Ttulo1">
    <w:name w:val="heading 1"/>
    <w:basedOn w:val="Normal"/>
    <w:next w:val="Normal"/>
    <w:link w:val="Ttulo1Car"/>
    <w:uiPriority w:val="9"/>
    <w:qFormat/>
    <w:rsid w:val="00B364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64C2"/>
    <w:rPr>
      <w:rFonts w:asciiTheme="majorHAnsi" w:eastAsiaTheme="majorEastAsia" w:hAnsiTheme="majorHAnsi" w:cstheme="majorBidi"/>
      <w:b/>
      <w:bCs/>
      <w:color w:val="365F91" w:themeColor="accent1" w:themeShade="BF"/>
      <w:sz w:val="28"/>
      <w:szCs w:val="28"/>
    </w:rPr>
  </w:style>
  <w:style w:type="paragraph" w:styleId="Prrafodelista">
    <w:name w:val="List Paragraph"/>
    <w:basedOn w:val="Normal"/>
    <w:uiPriority w:val="34"/>
    <w:qFormat/>
    <w:rsid w:val="00B364C2"/>
    <w:pPr>
      <w:ind w:left="720"/>
      <w:contextualSpacing/>
    </w:pPr>
  </w:style>
  <w:style w:type="paragraph" w:styleId="Textonotapie">
    <w:name w:val="footnote text"/>
    <w:basedOn w:val="Normal"/>
    <w:link w:val="TextonotapieCar"/>
    <w:uiPriority w:val="99"/>
    <w:semiHidden/>
    <w:unhideWhenUsed/>
    <w:rsid w:val="00B364C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64C2"/>
    <w:rPr>
      <w:sz w:val="20"/>
      <w:szCs w:val="20"/>
    </w:rPr>
  </w:style>
  <w:style w:type="character" w:styleId="Refdenotaalpie">
    <w:name w:val="footnote reference"/>
    <w:basedOn w:val="Fuentedeprrafopredeter"/>
    <w:unhideWhenUsed/>
    <w:rsid w:val="00B364C2"/>
    <w:rPr>
      <w:vertAlign w:val="superscript"/>
    </w:rPr>
  </w:style>
  <w:style w:type="table" w:styleId="Cuadrculamedia3-nfasis2">
    <w:name w:val="Medium Grid 3 Accent 2"/>
    <w:basedOn w:val="Tablanormal"/>
    <w:uiPriority w:val="69"/>
    <w:rsid w:val="00B364C2"/>
    <w:pPr>
      <w:spacing w:after="0" w:line="240" w:lineRule="auto"/>
    </w:pPr>
    <w:rPr>
      <w:lang w:val="es-ES_tradnl"/>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ombreadomedio1-nfasis2">
    <w:name w:val="Medium Shading 1 Accent 2"/>
    <w:basedOn w:val="Tablanormal"/>
    <w:uiPriority w:val="63"/>
    <w:rsid w:val="00B364C2"/>
    <w:pPr>
      <w:spacing w:after="0" w:line="240" w:lineRule="auto"/>
    </w:pPr>
    <w:rPr>
      <w:lang w:val="es-ES_tradnl"/>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paragraph" w:styleId="Encabezado">
    <w:name w:val="header"/>
    <w:basedOn w:val="Normal"/>
    <w:link w:val="EncabezadoCar"/>
    <w:uiPriority w:val="99"/>
    <w:unhideWhenUsed/>
    <w:rsid w:val="00B364C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64C2"/>
  </w:style>
  <w:style w:type="paragraph" w:styleId="Piedepgina">
    <w:name w:val="footer"/>
    <w:basedOn w:val="Normal"/>
    <w:link w:val="PiedepginaCar"/>
    <w:uiPriority w:val="99"/>
    <w:unhideWhenUsed/>
    <w:rsid w:val="00B364C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364C2"/>
  </w:style>
  <w:style w:type="paragraph" w:styleId="Textodeglobo">
    <w:name w:val="Balloon Text"/>
    <w:basedOn w:val="Normal"/>
    <w:link w:val="TextodegloboCar"/>
    <w:uiPriority w:val="99"/>
    <w:semiHidden/>
    <w:unhideWhenUsed/>
    <w:rsid w:val="00B364C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364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14F"/>
  </w:style>
  <w:style w:type="paragraph" w:styleId="Ttulo1">
    <w:name w:val="heading 1"/>
    <w:basedOn w:val="Normal"/>
    <w:next w:val="Normal"/>
    <w:link w:val="Ttulo1Car"/>
    <w:uiPriority w:val="9"/>
    <w:qFormat/>
    <w:rsid w:val="00B364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64C2"/>
    <w:rPr>
      <w:rFonts w:asciiTheme="majorHAnsi" w:eastAsiaTheme="majorEastAsia" w:hAnsiTheme="majorHAnsi" w:cstheme="majorBidi"/>
      <w:b/>
      <w:bCs/>
      <w:color w:val="365F91" w:themeColor="accent1" w:themeShade="BF"/>
      <w:sz w:val="28"/>
      <w:szCs w:val="28"/>
    </w:rPr>
  </w:style>
  <w:style w:type="paragraph" w:styleId="Prrafodelista">
    <w:name w:val="List Paragraph"/>
    <w:basedOn w:val="Normal"/>
    <w:uiPriority w:val="34"/>
    <w:qFormat/>
    <w:rsid w:val="00B364C2"/>
    <w:pPr>
      <w:ind w:left="720"/>
      <w:contextualSpacing/>
    </w:pPr>
  </w:style>
  <w:style w:type="paragraph" w:styleId="Textonotapie">
    <w:name w:val="footnote text"/>
    <w:basedOn w:val="Normal"/>
    <w:link w:val="TextonotapieCar"/>
    <w:uiPriority w:val="99"/>
    <w:semiHidden/>
    <w:unhideWhenUsed/>
    <w:rsid w:val="00B364C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64C2"/>
    <w:rPr>
      <w:sz w:val="20"/>
      <w:szCs w:val="20"/>
    </w:rPr>
  </w:style>
  <w:style w:type="character" w:styleId="Refdenotaalpie">
    <w:name w:val="footnote reference"/>
    <w:basedOn w:val="Fuentedeprrafopredeter"/>
    <w:unhideWhenUsed/>
    <w:rsid w:val="00B364C2"/>
    <w:rPr>
      <w:vertAlign w:val="superscript"/>
    </w:rPr>
  </w:style>
  <w:style w:type="table" w:styleId="Cuadrculamedia3-nfasis2">
    <w:name w:val="Medium Grid 3 Accent 2"/>
    <w:basedOn w:val="Tablanormal"/>
    <w:uiPriority w:val="69"/>
    <w:rsid w:val="00B364C2"/>
    <w:pPr>
      <w:spacing w:after="0" w:line="240" w:lineRule="auto"/>
    </w:pPr>
    <w:rPr>
      <w:lang w:val="es-ES_tradnl"/>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ombreadomedio1-nfasis2">
    <w:name w:val="Medium Shading 1 Accent 2"/>
    <w:basedOn w:val="Tablanormal"/>
    <w:uiPriority w:val="63"/>
    <w:rsid w:val="00B364C2"/>
    <w:pPr>
      <w:spacing w:after="0" w:line="240" w:lineRule="auto"/>
    </w:pPr>
    <w:rPr>
      <w:lang w:val="es-ES_tradnl"/>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paragraph" w:styleId="Encabezado">
    <w:name w:val="header"/>
    <w:basedOn w:val="Normal"/>
    <w:link w:val="EncabezadoCar"/>
    <w:uiPriority w:val="99"/>
    <w:unhideWhenUsed/>
    <w:rsid w:val="00B364C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64C2"/>
  </w:style>
  <w:style w:type="paragraph" w:styleId="Piedepgina">
    <w:name w:val="footer"/>
    <w:basedOn w:val="Normal"/>
    <w:link w:val="PiedepginaCar"/>
    <w:uiPriority w:val="99"/>
    <w:unhideWhenUsed/>
    <w:rsid w:val="00B364C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364C2"/>
  </w:style>
  <w:style w:type="paragraph" w:styleId="Textodeglobo">
    <w:name w:val="Balloon Text"/>
    <w:basedOn w:val="Normal"/>
    <w:link w:val="TextodegloboCar"/>
    <w:uiPriority w:val="99"/>
    <w:semiHidden/>
    <w:unhideWhenUsed/>
    <w:rsid w:val="00B364C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364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15B8A-FB79-4C3F-A331-E2E55C033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2542</Words>
  <Characters>13982</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Mª Rocío Sillero Carrasco</dc:creator>
  <cp:lastModifiedBy>Mª Rocío Sillero Carrasco</cp:lastModifiedBy>
  <cp:revision>3</cp:revision>
  <dcterms:created xsi:type="dcterms:W3CDTF">2021-11-24T07:40:00Z</dcterms:created>
  <dcterms:modified xsi:type="dcterms:W3CDTF">2022-02-15T11:41:00Z</dcterms:modified>
</cp:coreProperties>
</file>