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055" w:rsidRPr="00DD0331" w:rsidRDefault="006B1055" w:rsidP="006B1055">
      <w:pPr>
        <w:pStyle w:val="Ttulo1"/>
        <w:jc w:val="center"/>
        <w:rPr>
          <w:rFonts w:ascii="Open Sans" w:hAnsi="Open Sans" w:cs="Open Sans"/>
          <w:color w:val="C00000"/>
        </w:rPr>
      </w:pPr>
      <w:r w:rsidRPr="00DD0331">
        <w:rPr>
          <w:rFonts w:ascii="Open Sans" w:hAnsi="Open Sans" w:cs="Open Sans"/>
          <w:color w:val="C00000"/>
        </w:rPr>
        <w:t>MODELO ORDENANZA FISCAL REGULADORA DEL IMPUESTO SOBRE CONSTRUCCIONES, INSTALACIONES Y OBRAS</w:t>
      </w:r>
    </w:p>
    <w:p w:rsidR="006B1055" w:rsidRDefault="006B1055" w:rsidP="006B1055">
      <w:pPr>
        <w:spacing w:after="0"/>
        <w:jc w:val="both"/>
        <w:rPr>
          <w:rFonts w:ascii="Open Sans" w:eastAsiaTheme="minorEastAsia" w:hAnsi="Open Sans" w:cs="Open Sans"/>
          <w:b/>
          <w:color w:val="9BBB59" w:themeColor="accent3"/>
          <w:sz w:val="20"/>
          <w:szCs w:val="20"/>
          <w:lang w:eastAsia="es-ES"/>
        </w:rPr>
      </w:pPr>
    </w:p>
    <w:p w:rsidR="006B1055" w:rsidRPr="00F9786B" w:rsidRDefault="006B1055" w:rsidP="006B1055">
      <w:pPr>
        <w:spacing w:after="0"/>
        <w:jc w:val="both"/>
        <w:rPr>
          <w:rFonts w:ascii="Open Sans" w:eastAsiaTheme="minorEastAsia" w:hAnsi="Open Sans" w:cs="Open Sans"/>
          <w:b/>
          <w:color w:val="000000" w:themeColor="text1"/>
          <w:lang w:eastAsia="es-ES"/>
        </w:rPr>
      </w:pPr>
      <w:r w:rsidRPr="00F9786B">
        <w:rPr>
          <w:rFonts w:ascii="Open Sans" w:eastAsiaTheme="minorEastAsia" w:hAnsi="Open Sans" w:cs="Open Sans"/>
          <w:b/>
          <w:color w:val="000000" w:themeColor="text1"/>
          <w:lang w:eastAsia="es-ES"/>
        </w:rPr>
        <w:t>Artículo 1. NATURALEZA Y FUNDAMENTO.</w:t>
      </w:r>
    </w:p>
    <w:p w:rsidR="006B1055" w:rsidRPr="00F9786B" w:rsidRDefault="006B1055" w:rsidP="006B1055">
      <w:pPr>
        <w:spacing w:after="0"/>
        <w:jc w:val="both"/>
        <w:rPr>
          <w:rFonts w:ascii="Open Sans" w:eastAsiaTheme="minorEastAsia" w:hAnsi="Open Sans" w:cs="Open Sans"/>
          <w:color w:val="000000" w:themeColor="text1"/>
          <w:lang w:eastAsia="es-ES"/>
        </w:rPr>
      </w:pPr>
      <w:r w:rsidRPr="00F9786B">
        <w:rPr>
          <w:rFonts w:ascii="Open Sans" w:eastAsiaTheme="minorEastAsia" w:hAnsi="Open Sans" w:cs="Open Sans"/>
          <w:color w:val="000000" w:themeColor="text1"/>
          <w:lang w:eastAsia="es-ES"/>
        </w:rPr>
        <w:t xml:space="preserve">El Impuesto sobre Construcciones, Instalaciones y Obras es un tributo potestativo de carácter indirecto, </w:t>
      </w:r>
      <w:r w:rsidRPr="009377C4">
        <w:rPr>
          <w:rFonts w:ascii="Open Sans" w:eastAsiaTheme="minorEastAsia" w:hAnsi="Open Sans" w:cs="Open Sans"/>
          <w:color w:val="000000" w:themeColor="text1"/>
          <w:lang w:eastAsia="es-ES"/>
        </w:rPr>
        <w:t>previsto en el artículo 59.2 del Texto Refundido de la Ley reguladora de las Haciendas Locales, aprobado por Real Decreto 2/2004, de 5 de marzo, y regulado en los artículos 10</w:t>
      </w:r>
      <w:r>
        <w:rPr>
          <w:rFonts w:ascii="Open Sans" w:eastAsiaTheme="minorEastAsia" w:hAnsi="Open Sans" w:cs="Open Sans"/>
          <w:color w:val="000000" w:themeColor="text1"/>
          <w:lang w:eastAsia="es-ES"/>
        </w:rPr>
        <w:t>0 a 103</w:t>
      </w:r>
      <w:r w:rsidRPr="009377C4">
        <w:rPr>
          <w:rFonts w:ascii="Open Sans" w:eastAsiaTheme="minorEastAsia" w:hAnsi="Open Sans" w:cs="Open Sans"/>
          <w:color w:val="000000" w:themeColor="text1"/>
          <w:lang w:eastAsia="es-ES"/>
        </w:rPr>
        <w:t>, ambos inclusive, de dicha disposición, así como por las demás disposiciones legales y reglamentarias que complementen y desarrollen dicha Ley, y cuya imposición y ordenación se establece en la presente ordenanza fiscal.</w:t>
      </w:r>
    </w:p>
    <w:p w:rsidR="006B1055" w:rsidRPr="00F9786B" w:rsidRDefault="006B1055" w:rsidP="006B1055">
      <w:pPr>
        <w:pStyle w:val="Estilo2"/>
        <w:rPr>
          <w:color w:val="000000" w:themeColor="text1"/>
          <w:sz w:val="22"/>
          <w:szCs w:val="22"/>
        </w:rPr>
      </w:pPr>
      <w:r w:rsidRPr="00F9786B">
        <w:rPr>
          <w:color w:val="000000" w:themeColor="text1"/>
          <w:sz w:val="22"/>
          <w:szCs w:val="22"/>
        </w:rPr>
        <w:t>Artículo 2. HECHO IMPONIBLE Y SUPUESTOS DE NO SUJECIÓN.</w:t>
      </w:r>
    </w:p>
    <w:p w:rsidR="006B1055" w:rsidRPr="00F9786B" w:rsidRDefault="006B1055" w:rsidP="006B1055">
      <w:pPr>
        <w:jc w:val="both"/>
        <w:rPr>
          <w:rFonts w:ascii="Open Sans" w:hAnsi="Open Sans" w:cs="Open Sans"/>
          <w:color w:val="000000" w:themeColor="text1"/>
        </w:rPr>
      </w:pPr>
      <w:r w:rsidRPr="00F9786B">
        <w:rPr>
          <w:rFonts w:ascii="Open Sans" w:hAnsi="Open Sans" w:cs="Open Sans"/>
          <w:color w:val="000000" w:themeColor="text1"/>
        </w:rPr>
        <w:t xml:space="preserve">1. Constituye el hecho imponible de este Impuesto la realización de cualquier construcción, instalación u obra para la que se exija la obtención de la correspondiente licencia de obras o urbanística, se haya obtenido o no dicha licencia, para las que se exija presentación de declaración responsable o comunicación previa, cuando la expedición de la licencia o la actividad de control corresponda al municipio de </w:t>
      </w:r>
      <w:r w:rsidRPr="00F9786B">
        <w:rPr>
          <w:rFonts w:ascii="Open Sans" w:hAnsi="Open Sans" w:cs="Open Sans"/>
          <w:color w:val="000000" w:themeColor="text1"/>
          <w:highlight w:val="red"/>
        </w:rPr>
        <w:t>...</w:t>
      </w:r>
      <w:r w:rsidRPr="00F9786B">
        <w:rPr>
          <w:rFonts w:ascii="Open Sans" w:hAnsi="Open Sans" w:cs="Open Sans"/>
          <w:color w:val="000000" w:themeColor="text1"/>
        </w:rPr>
        <w:t>, y todo ello, sin perjuicio de las autorizaciones que puedan exigirse por otras administraciones.</w:t>
      </w:r>
    </w:p>
    <w:p w:rsidR="006B1055" w:rsidRPr="00F9786B" w:rsidRDefault="006B1055" w:rsidP="006B1055">
      <w:pPr>
        <w:jc w:val="both"/>
        <w:rPr>
          <w:rFonts w:ascii="Open Sans" w:hAnsi="Open Sans" w:cs="Open Sans"/>
          <w:color w:val="000000" w:themeColor="text1"/>
        </w:rPr>
      </w:pPr>
      <w:r w:rsidRPr="00F9786B">
        <w:rPr>
          <w:rFonts w:ascii="Open Sans" w:hAnsi="Open Sans" w:cs="Open Sans"/>
          <w:color w:val="000000" w:themeColor="text1"/>
        </w:rPr>
        <w:t>2. Son construcciones, instalaciones y obras sujetas al Impuesto las siguientes:</w:t>
      </w:r>
    </w:p>
    <w:p w:rsidR="006B1055" w:rsidRPr="00F9786B" w:rsidRDefault="006B1055" w:rsidP="006B1055">
      <w:pPr>
        <w:pStyle w:val="Prrafodelista"/>
        <w:numPr>
          <w:ilvl w:val="0"/>
          <w:numId w:val="26"/>
        </w:numPr>
        <w:jc w:val="both"/>
        <w:rPr>
          <w:rFonts w:ascii="Open Sans" w:hAnsi="Open Sans" w:cs="Open Sans"/>
          <w:color w:val="000000" w:themeColor="text1"/>
        </w:rPr>
      </w:pPr>
      <w:r w:rsidRPr="00F9786B">
        <w:rPr>
          <w:rFonts w:ascii="Open Sans" w:hAnsi="Open Sans" w:cs="Open Sans"/>
          <w:color w:val="000000" w:themeColor="text1"/>
        </w:rPr>
        <w:t>Obras de construcción de edificaciones e instalaciones de toda clase de obra nueva,</w:t>
      </w:r>
    </w:p>
    <w:p w:rsidR="006B1055" w:rsidRPr="00F9786B" w:rsidRDefault="006B1055" w:rsidP="006B1055">
      <w:pPr>
        <w:pStyle w:val="Prrafodelista"/>
        <w:numPr>
          <w:ilvl w:val="0"/>
          <w:numId w:val="26"/>
        </w:numPr>
        <w:jc w:val="both"/>
        <w:rPr>
          <w:rFonts w:ascii="Open Sans" w:hAnsi="Open Sans" w:cs="Open Sans"/>
          <w:color w:val="000000" w:themeColor="text1"/>
        </w:rPr>
      </w:pPr>
      <w:r w:rsidRPr="00F9786B">
        <w:rPr>
          <w:rFonts w:ascii="Open Sans" w:hAnsi="Open Sans" w:cs="Open Sans"/>
          <w:color w:val="000000" w:themeColor="text1"/>
        </w:rPr>
        <w:t>Obras de demolición,</w:t>
      </w:r>
    </w:p>
    <w:p w:rsidR="006B1055" w:rsidRPr="00F9786B" w:rsidRDefault="006B1055" w:rsidP="006B1055">
      <w:pPr>
        <w:pStyle w:val="Prrafodelista"/>
        <w:numPr>
          <w:ilvl w:val="0"/>
          <w:numId w:val="26"/>
        </w:numPr>
        <w:jc w:val="both"/>
        <w:rPr>
          <w:rFonts w:ascii="Open Sans" w:hAnsi="Open Sans" w:cs="Open Sans"/>
          <w:color w:val="000000" w:themeColor="text1"/>
        </w:rPr>
      </w:pPr>
      <w:r w:rsidRPr="00F9786B">
        <w:rPr>
          <w:rFonts w:ascii="Open Sans" w:hAnsi="Open Sans" w:cs="Open Sans"/>
          <w:color w:val="000000" w:themeColor="text1"/>
        </w:rPr>
        <w:t>Obras en edificios, tanto aquellas que modifiquen su interior como exterior,</w:t>
      </w:r>
    </w:p>
    <w:p w:rsidR="006B1055" w:rsidRPr="00F9786B" w:rsidRDefault="006B1055" w:rsidP="006B1055">
      <w:pPr>
        <w:pStyle w:val="Prrafodelista"/>
        <w:numPr>
          <w:ilvl w:val="0"/>
          <w:numId w:val="26"/>
        </w:numPr>
        <w:jc w:val="both"/>
        <w:rPr>
          <w:rFonts w:ascii="Open Sans" w:hAnsi="Open Sans" w:cs="Open Sans"/>
          <w:color w:val="000000" w:themeColor="text1"/>
        </w:rPr>
      </w:pPr>
      <w:r w:rsidRPr="00F9786B">
        <w:rPr>
          <w:rFonts w:ascii="Open Sans" w:hAnsi="Open Sans" w:cs="Open Sans"/>
          <w:color w:val="000000" w:themeColor="text1"/>
        </w:rPr>
        <w:t>Alineaciones y rasantes,</w:t>
      </w:r>
    </w:p>
    <w:p w:rsidR="006B1055" w:rsidRPr="00F9786B" w:rsidRDefault="006B1055" w:rsidP="006B1055">
      <w:pPr>
        <w:pStyle w:val="Prrafodelista"/>
        <w:numPr>
          <w:ilvl w:val="0"/>
          <w:numId w:val="26"/>
        </w:numPr>
        <w:jc w:val="both"/>
        <w:rPr>
          <w:rFonts w:ascii="Open Sans" w:hAnsi="Open Sans" w:cs="Open Sans"/>
          <w:color w:val="000000" w:themeColor="text1"/>
        </w:rPr>
      </w:pPr>
      <w:r w:rsidRPr="00F9786B">
        <w:rPr>
          <w:rFonts w:ascii="Open Sans" w:hAnsi="Open Sans" w:cs="Open Sans"/>
          <w:color w:val="000000" w:themeColor="text1"/>
        </w:rPr>
        <w:t>Obras de fontanería y alcantarillado,</w:t>
      </w:r>
    </w:p>
    <w:p w:rsidR="006B1055" w:rsidRPr="00F9786B" w:rsidRDefault="006B1055" w:rsidP="006B1055">
      <w:pPr>
        <w:pStyle w:val="Prrafodelista"/>
        <w:numPr>
          <w:ilvl w:val="0"/>
          <w:numId w:val="26"/>
        </w:numPr>
        <w:jc w:val="both"/>
        <w:rPr>
          <w:rFonts w:ascii="Open Sans" w:hAnsi="Open Sans" w:cs="Open Sans"/>
          <w:color w:val="000000" w:themeColor="text1"/>
        </w:rPr>
      </w:pPr>
      <w:r w:rsidRPr="00F9786B">
        <w:rPr>
          <w:rFonts w:ascii="Open Sans" w:hAnsi="Open Sans" w:cs="Open Sans"/>
          <w:color w:val="000000" w:themeColor="text1"/>
        </w:rPr>
        <w:t>Obras en cementerios,</w:t>
      </w:r>
    </w:p>
    <w:p w:rsidR="006B1055" w:rsidRPr="00F9786B" w:rsidRDefault="006B1055" w:rsidP="006B1055">
      <w:pPr>
        <w:pStyle w:val="Prrafodelista"/>
        <w:numPr>
          <w:ilvl w:val="0"/>
          <w:numId w:val="26"/>
        </w:numPr>
        <w:jc w:val="both"/>
        <w:rPr>
          <w:rFonts w:ascii="Open Sans" w:hAnsi="Open Sans" w:cs="Open Sans"/>
          <w:color w:val="000000" w:themeColor="text1"/>
        </w:rPr>
      </w:pPr>
      <w:r w:rsidRPr="00F9786B">
        <w:rPr>
          <w:rFonts w:ascii="Open Sans" w:hAnsi="Open Sans" w:cs="Open Sans"/>
          <w:color w:val="000000" w:themeColor="text1"/>
        </w:rPr>
        <w:t>Cualquier otra que implique la realización del hecho imponible de este impuesto.</w:t>
      </w:r>
    </w:p>
    <w:p w:rsidR="006B1055" w:rsidRPr="00F9786B" w:rsidRDefault="006B1055" w:rsidP="006B1055">
      <w:pPr>
        <w:spacing w:after="0"/>
        <w:jc w:val="both"/>
        <w:rPr>
          <w:rFonts w:ascii="Open Sans" w:hAnsi="Open Sans" w:cs="Open Sans"/>
          <w:color w:val="000000" w:themeColor="text1"/>
        </w:rPr>
      </w:pPr>
      <w:r w:rsidRPr="00F9786B">
        <w:rPr>
          <w:rFonts w:ascii="Open Sans" w:hAnsi="Open Sans" w:cs="Open Sans"/>
          <w:color w:val="000000" w:themeColor="text1"/>
        </w:rPr>
        <w:t>3. Asimismo, se entienden incluidas en el hecho imponible del impuesto:</w:t>
      </w:r>
    </w:p>
    <w:p w:rsidR="006B1055" w:rsidRPr="00F9786B" w:rsidRDefault="006B1055" w:rsidP="006B1055">
      <w:pPr>
        <w:spacing w:after="0"/>
        <w:jc w:val="both"/>
        <w:rPr>
          <w:rFonts w:ascii="Open Sans" w:hAnsi="Open Sans" w:cs="Open Sans"/>
          <w:color w:val="000000" w:themeColor="text1"/>
        </w:rPr>
      </w:pPr>
      <w:r w:rsidRPr="00F9786B">
        <w:rPr>
          <w:rFonts w:ascii="Open Sans" w:hAnsi="Open Sans" w:cs="Open Sans"/>
          <w:color w:val="000000" w:themeColor="text1"/>
        </w:rPr>
        <w:t>a) Cualquier construcción, instalación u obra que se realice en cumplimiento de una orden de ejecución o aquellas que requieran la previa existencia de un acuerdo probatorio, de una concesión o de una autorización municipal.</w:t>
      </w:r>
    </w:p>
    <w:p w:rsidR="006B1055" w:rsidRPr="00F9786B" w:rsidRDefault="006B1055" w:rsidP="006B1055">
      <w:pPr>
        <w:jc w:val="both"/>
        <w:rPr>
          <w:rFonts w:ascii="Open Sans" w:hAnsi="Open Sans" w:cs="Open Sans"/>
          <w:color w:val="000000" w:themeColor="text1"/>
        </w:rPr>
      </w:pPr>
      <w:r w:rsidRPr="00F9786B">
        <w:rPr>
          <w:rFonts w:ascii="Open Sans" w:hAnsi="Open Sans" w:cs="Open Sans"/>
          <w:color w:val="000000" w:themeColor="text1"/>
        </w:rPr>
        <w:t>b) Cualquier construcción, instalación u obra realizada en la vía pública por particulares o empresas suministradoras de servicios públicos.</w:t>
      </w:r>
    </w:p>
    <w:p w:rsidR="006B1055" w:rsidRPr="00F9786B" w:rsidRDefault="006B1055" w:rsidP="006B1055">
      <w:pPr>
        <w:jc w:val="both"/>
        <w:rPr>
          <w:rFonts w:ascii="Open Sans" w:hAnsi="Open Sans" w:cs="Open Sans"/>
          <w:b/>
          <w:color w:val="000000"/>
        </w:rPr>
      </w:pPr>
      <w:r w:rsidRPr="00F9786B">
        <w:rPr>
          <w:rFonts w:ascii="Open Sans" w:hAnsi="Open Sans" w:cs="Open Sans"/>
          <w:b/>
          <w:color w:val="000000"/>
        </w:rPr>
        <w:t>Artículo 3. EXENCIONES.</w:t>
      </w:r>
    </w:p>
    <w:p w:rsidR="006B1055" w:rsidRPr="00F9786B" w:rsidRDefault="006B1055" w:rsidP="006B1055">
      <w:pPr>
        <w:jc w:val="both"/>
        <w:rPr>
          <w:rFonts w:ascii="Open Sans" w:hAnsi="Open Sans" w:cs="Open Sans"/>
          <w:color w:val="000000"/>
        </w:rPr>
      </w:pPr>
      <w:r w:rsidRPr="00F9786B">
        <w:rPr>
          <w:rFonts w:ascii="Open Sans" w:hAnsi="Open Sans" w:cs="Open Sans"/>
          <w:color w:val="000000"/>
        </w:rPr>
        <w:t xml:space="preserve">Está exenta del pago del Impuesto la realización de cualquier construcción, instalación u obra de la que sea dueño el Estado, las Comunidades Autónomas o las Entidades locales, que estando sujetas al mismo, vayan a ser directamente destinadas a carreteras, ferrocarriles, puertos, aeropuertos, obras hidráulicas, saneamiento de </w:t>
      </w:r>
      <w:r w:rsidRPr="00F9786B">
        <w:rPr>
          <w:rFonts w:ascii="Open Sans" w:hAnsi="Open Sans" w:cs="Open Sans"/>
          <w:color w:val="000000"/>
        </w:rPr>
        <w:lastRenderedPageBreak/>
        <w:t>poblaciones y de sus aguas residuales, aunque su gestión se lleve a cabo por Organismos Autónomos, tanto si se trata de obras de inversión nueva como de conservación.</w:t>
      </w:r>
    </w:p>
    <w:p w:rsidR="006B1055" w:rsidRPr="00F9786B" w:rsidRDefault="006B1055" w:rsidP="006B1055">
      <w:pPr>
        <w:jc w:val="both"/>
        <w:rPr>
          <w:rFonts w:ascii="Open Sans" w:hAnsi="Open Sans" w:cs="Open Sans"/>
          <w:b/>
          <w:color w:val="000000"/>
        </w:rPr>
      </w:pPr>
      <w:r w:rsidRPr="00F9786B">
        <w:rPr>
          <w:rFonts w:ascii="Open Sans" w:hAnsi="Open Sans" w:cs="Open Sans"/>
          <w:b/>
          <w:color w:val="000000"/>
        </w:rPr>
        <w:t>Artículo 4. SUJETOS PASIVOS.</w:t>
      </w:r>
    </w:p>
    <w:p w:rsidR="006B1055" w:rsidRPr="00F9786B" w:rsidRDefault="006B1055" w:rsidP="006B1055">
      <w:pPr>
        <w:jc w:val="both"/>
        <w:rPr>
          <w:rFonts w:ascii="Open Sans" w:hAnsi="Open Sans" w:cs="Open Sans"/>
          <w:color w:val="000000"/>
        </w:rPr>
      </w:pPr>
      <w:r w:rsidRPr="00F9786B">
        <w:rPr>
          <w:rFonts w:ascii="Open Sans" w:hAnsi="Open Sans" w:cs="Open Sans"/>
          <w:color w:val="000000"/>
        </w:rPr>
        <w:t>1. Son sujetos pasivos de este Impuesto, a título de contribuyentes, las personas físicas o jurídicas y las entidades a que se refiere el artículo 35.4 de la Ley General Tributaria, que sean dueños de la construcción, instalación u obra, sean o no propietarios del inmueble sobre el que se realice aquélla.</w:t>
      </w:r>
    </w:p>
    <w:p w:rsidR="006B1055" w:rsidRPr="00F9786B" w:rsidRDefault="006B1055" w:rsidP="006B1055">
      <w:pPr>
        <w:jc w:val="both"/>
        <w:rPr>
          <w:rFonts w:ascii="Open Sans" w:hAnsi="Open Sans" w:cs="Open Sans"/>
          <w:color w:val="000000"/>
        </w:rPr>
      </w:pPr>
      <w:r w:rsidRPr="00F9786B">
        <w:rPr>
          <w:rFonts w:ascii="Open Sans" w:hAnsi="Open Sans" w:cs="Open Sans"/>
          <w:color w:val="000000"/>
        </w:rPr>
        <w:t>A los efectos previstos en el párrafo anterior, tendrá la consideración de dueño de la construcción, instalación u obra quien soporte los gastos o el coste que comporte su realización.</w:t>
      </w:r>
    </w:p>
    <w:p w:rsidR="006B1055" w:rsidRPr="00F9786B" w:rsidRDefault="006B1055" w:rsidP="006B1055">
      <w:pPr>
        <w:jc w:val="both"/>
        <w:rPr>
          <w:rFonts w:ascii="Open Sans" w:hAnsi="Open Sans" w:cs="Open Sans"/>
          <w:color w:val="000000"/>
        </w:rPr>
      </w:pPr>
      <w:r w:rsidRPr="00F9786B">
        <w:rPr>
          <w:rFonts w:ascii="Open Sans" w:hAnsi="Open Sans" w:cs="Open Sans"/>
          <w:color w:val="000000"/>
        </w:rPr>
        <w:t>2. En el supuesto de que la construcción, instalación u obra no sea realizada por el sujeto pasivo contribuyente, tendrán la condición de sujetos pasivos sustitutos del mismo quienes soliciten las correspondientes licencias o presenten las correspondientes declaraciones responsables o comunicaciones previas o quienes realicen las construcciones, instalaciones u obras.</w:t>
      </w:r>
    </w:p>
    <w:p w:rsidR="006B1055" w:rsidRPr="00F9786B" w:rsidRDefault="006B1055" w:rsidP="006B1055">
      <w:pPr>
        <w:jc w:val="both"/>
        <w:rPr>
          <w:rFonts w:ascii="Open Sans" w:hAnsi="Open Sans" w:cs="Open Sans"/>
          <w:color w:val="000000"/>
        </w:rPr>
      </w:pPr>
      <w:r w:rsidRPr="00F9786B">
        <w:rPr>
          <w:rFonts w:ascii="Open Sans" w:hAnsi="Open Sans" w:cs="Open Sans"/>
          <w:color w:val="000000"/>
        </w:rPr>
        <w:t>El sustituto podrá exigir del contribuyente el importe de la cuota tributaria satisfecha.</w:t>
      </w:r>
    </w:p>
    <w:p w:rsidR="006B1055" w:rsidRPr="00F9786B" w:rsidRDefault="006B1055" w:rsidP="006B1055">
      <w:pPr>
        <w:spacing w:after="0"/>
        <w:jc w:val="both"/>
        <w:rPr>
          <w:rFonts w:ascii="Open Sans" w:eastAsia="Times New Roman" w:hAnsi="Open Sans" w:cs="Open Sans"/>
          <w:b/>
          <w:color w:val="000000"/>
          <w:lang w:eastAsia="es-ES"/>
        </w:rPr>
      </w:pPr>
      <w:r w:rsidRPr="00F9786B">
        <w:rPr>
          <w:rFonts w:ascii="Open Sans" w:eastAsia="Times New Roman" w:hAnsi="Open Sans" w:cs="Open Sans"/>
          <w:b/>
          <w:color w:val="000000"/>
          <w:lang w:eastAsia="es-ES"/>
        </w:rPr>
        <w:t>Artículo 5. BASE IMPONIBLE.</w:t>
      </w:r>
    </w:p>
    <w:p w:rsidR="006B1055" w:rsidRPr="00F9786B" w:rsidRDefault="006B1055" w:rsidP="006B1055">
      <w:pPr>
        <w:spacing w:after="0"/>
        <w:jc w:val="both"/>
        <w:rPr>
          <w:rFonts w:ascii="Open Sans" w:eastAsia="Times New Roman" w:hAnsi="Open Sans" w:cs="Open Sans"/>
          <w:color w:val="000000"/>
          <w:lang w:eastAsia="es-ES"/>
        </w:rPr>
      </w:pPr>
      <w:r w:rsidRPr="00F9786B">
        <w:rPr>
          <w:rFonts w:ascii="Open Sans" w:eastAsia="Times New Roman" w:hAnsi="Open Sans" w:cs="Open Sans"/>
          <w:color w:val="000000"/>
          <w:lang w:eastAsia="es-ES"/>
        </w:rPr>
        <w:t xml:space="preserve">La base imponible del impuesto está constituida por el coste real y efectivo de la construcción, instalación u obra, entendiéndose por coste real y efectivo, a los efectos del impuesto, el coste de ejecución material de aquella. </w:t>
      </w:r>
    </w:p>
    <w:p w:rsidR="006B1055" w:rsidRPr="00F9786B" w:rsidRDefault="006B1055" w:rsidP="006B1055">
      <w:pPr>
        <w:spacing w:after="0"/>
        <w:jc w:val="both"/>
        <w:rPr>
          <w:rFonts w:ascii="Open Sans" w:eastAsia="Times New Roman" w:hAnsi="Open Sans" w:cs="Open Sans"/>
          <w:color w:val="000000"/>
          <w:lang w:eastAsia="es-ES"/>
        </w:rPr>
      </w:pPr>
    </w:p>
    <w:p w:rsidR="006B1055" w:rsidRPr="00F9786B" w:rsidRDefault="006B1055" w:rsidP="006B1055">
      <w:pPr>
        <w:spacing w:after="0"/>
        <w:jc w:val="both"/>
        <w:rPr>
          <w:rFonts w:ascii="Open Sans" w:eastAsia="Times New Roman" w:hAnsi="Open Sans" w:cs="Open Sans"/>
          <w:color w:val="000000"/>
          <w:lang w:eastAsia="es-ES"/>
        </w:rPr>
      </w:pPr>
      <w:r w:rsidRPr="00F9786B">
        <w:rPr>
          <w:rFonts w:ascii="Open Sans" w:eastAsia="Times New Roman" w:hAnsi="Open Sans" w:cs="Open Sans"/>
          <w:color w:val="000000"/>
          <w:lang w:eastAsia="es-ES"/>
        </w:rPr>
        <w:t>No forman parte de la base imponible el Impuesto sobre el Valor Añadido y demás impuestos análogos propios de regímenes especiales, las tasas, los precios públicos y demás prestaciones patrimoniales de carácter público local relacionadas, en su caso, con la construcción, instalación u obra, ni tampoco los honorarios profesionales, el beneficio empresarial del contratista, ni cualquier otro concepto que no integre, estrictamente, el coste de ejecución material.</w:t>
      </w:r>
    </w:p>
    <w:p w:rsidR="006B1055" w:rsidRPr="00F9786B" w:rsidRDefault="006B1055" w:rsidP="006B1055">
      <w:pPr>
        <w:spacing w:after="0"/>
        <w:jc w:val="both"/>
        <w:rPr>
          <w:rFonts w:ascii="Open Sans" w:eastAsia="Times New Roman" w:hAnsi="Open Sans" w:cs="Open Sans"/>
          <w:color w:val="000000"/>
          <w:lang w:eastAsia="es-ES"/>
        </w:rPr>
      </w:pPr>
    </w:p>
    <w:p w:rsidR="006B1055" w:rsidRPr="00F9786B" w:rsidRDefault="006B1055" w:rsidP="006B1055">
      <w:pPr>
        <w:pStyle w:val="CM6"/>
        <w:spacing w:line="276" w:lineRule="auto"/>
        <w:jc w:val="both"/>
        <w:rPr>
          <w:rFonts w:ascii="Open Sans" w:hAnsi="Open Sans" w:cs="Open Sans"/>
          <w:b/>
          <w:color w:val="000000"/>
          <w:sz w:val="22"/>
          <w:szCs w:val="22"/>
        </w:rPr>
      </w:pPr>
      <w:r w:rsidRPr="00F9786B">
        <w:rPr>
          <w:rFonts w:ascii="Open Sans" w:hAnsi="Open Sans" w:cs="Open Sans"/>
          <w:b/>
          <w:color w:val="000000"/>
          <w:sz w:val="22"/>
          <w:szCs w:val="22"/>
        </w:rPr>
        <w:t>Artículo 7. CUOTA TRIBUTARIA Y TIPO DE GRAVAMEN.</w:t>
      </w:r>
    </w:p>
    <w:p w:rsidR="006B1055" w:rsidRPr="00F9786B" w:rsidRDefault="006B1055" w:rsidP="006B1055">
      <w:pPr>
        <w:pStyle w:val="al-justificada"/>
        <w:spacing w:before="0" w:beforeAutospacing="0" w:after="0" w:afterAutospacing="0" w:line="276" w:lineRule="auto"/>
        <w:jc w:val="both"/>
        <w:rPr>
          <w:rFonts w:ascii="Open Sans" w:hAnsi="Open Sans" w:cs="Open Sans"/>
          <w:sz w:val="22"/>
          <w:szCs w:val="22"/>
        </w:rPr>
      </w:pPr>
      <w:r w:rsidRPr="00F9786B">
        <w:rPr>
          <w:rFonts w:ascii="Open Sans" w:hAnsi="Open Sans" w:cs="Open Sans"/>
          <w:sz w:val="22"/>
          <w:szCs w:val="22"/>
        </w:rPr>
        <w:t>1. La cuota del Impuesto de Construcciones, Instalaciones y Obras será el resultado de aplicar a la base imponible el tipo de gravamen.</w:t>
      </w:r>
    </w:p>
    <w:p w:rsidR="006B1055" w:rsidRPr="00F9786B" w:rsidRDefault="006B1055" w:rsidP="006B1055">
      <w:pPr>
        <w:pStyle w:val="al-justificada"/>
        <w:spacing w:before="0" w:beforeAutospacing="0" w:after="0" w:afterAutospacing="0" w:line="276" w:lineRule="auto"/>
        <w:jc w:val="both"/>
        <w:rPr>
          <w:rFonts w:ascii="Open Sans" w:hAnsi="Open Sans" w:cs="Open Sans"/>
          <w:sz w:val="22"/>
          <w:szCs w:val="22"/>
        </w:rPr>
      </w:pPr>
      <w:r w:rsidRPr="00F9786B">
        <w:rPr>
          <w:rFonts w:ascii="Open Sans" w:hAnsi="Open Sans" w:cs="Open Sans"/>
          <w:sz w:val="22"/>
          <w:szCs w:val="22"/>
        </w:rPr>
        <w:t xml:space="preserve">2. El tipo de gravamen será, de acuerdo con lo preceptuado por el artículo 102.3 del Texto Refundido de la Ley Reguladora de las Haciendas Locales, </w:t>
      </w:r>
      <w:proofErr w:type="gramStart"/>
      <w:r w:rsidRPr="00F9786B">
        <w:rPr>
          <w:rFonts w:ascii="Open Sans" w:hAnsi="Open Sans" w:cs="Open Sans"/>
          <w:sz w:val="22"/>
          <w:szCs w:val="22"/>
        </w:rPr>
        <w:t xml:space="preserve">el </w:t>
      </w:r>
      <w:r w:rsidRPr="00F9786B">
        <w:rPr>
          <w:rFonts w:ascii="Open Sans" w:hAnsi="Open Sans" w:cs="Open Sans"/>
          <w:sz w:val="22"/>
          <w:szCs w:val="22"/>
          <w:highlight w:val="red"/>
        </w:rPr>
        <w:t>…</w:t>
      </w:r>
      <w:proofErr w:type="gramEnd"/>
      <w:r w:rsidRPr="00F9786B">
        <w:rPr>
          <w:rFonts w:ascii="Open Sans" w:hAnsi="Open Sans" w:cs="Open Sans"/>
          <w:sz w:val="22"/>
          <w:szCs w:val="22"/>
        </w:rPr>
        <w:t xml:space="preserve">% </w:t>
      </w:r>
      <w:r w:rsidRPr="00F9786B">
        <w:rPr>
          <w:rStyle w:val="Refdenotaalpie"/>
          <w:rFonts w:ascii="Open Sans" w:hAnsi="Open Sans" w:cs="Open Sans"/>
          <w:sz w:val="22"/>
          <w:szCs w:val="22"/>
        </w:rPr>
        <w:footnoteReference w:id="1"/>
      </w:r>
      <w:r w:rsidRPr="00F9786B">
        <w:rPr>
          <w:rFonts w:ascii="Open Sans" w:hAnsi="Open Sans" w:cs="Open Sans"/>
          <w:sz w:val="22"/>
          <w:szCs w:val="22"/>
        </w:rPr>
        <w:t>de la base imponible.</w:t>
      </w:r>
    </w:p>
    <w:p w:rsidR="006B1055" w:rsidRPr="00F9786B" w:rsidRDefault="006B1055" w:rsidP="006B1055">
      <w:pPr>
        <w:pStyle w:val="CM6"/>
        <w:spacing w:line="276" w:lineRule="auto"/>
        <w:jc w:val="both"/>
        <w:rPr>
          <w:rFonts w:ascii="Open Sans" w:hAnsi="Open Sans" w:cs="Open Sans"/>
          <w:sz w:val="22"/>
          <w:szCs w:val="22"/>
        </w:rPr>
      </w:pPr>
    </w:p>
    <w:p w:rsidR="006B1055" w:rsidRPr="00F9786B" w:rsidRDefault="006B1055" w:rsidP="006B1055">
      <w:pPr>
        <w:pStyle w:val="CM6"/>
        <w:spacing w:line="276" w:lineRule="auto"/>
        <w:jc w:val="both"/>
        <w:rPr>
          <w:rFonts w:ascii="Open Sans" w:hAnsi="Open Sans" w:cs="Open Sans"/>
          <w:sz w:val="22"/>
          <w:szCs w:val="22"/>
        </w:rPr>
      </w:pPr>
      <w:r w:rsidRPr="00F9786B">
        <w:rPr>
          <w:rFonts w:ascii="Open Sans" w:hAnsi="Open Sans" w:cs="Open Sans"/>
          <w:b/>
          <w:sz w:val="22"/>
          <w:szCs w:val="22"/>
        </w:rPr>
        <w:t>Artículo 7. BONIFICACIONES.</w:t>
      </w:r>
      <w:r w:rsidRPr="00F9786B">
        <w:rPr>
          <w:rStyle w:val="Refdenotaalpie"/>
          <w:rFonts w:ascii="Open Sans" w:hAnsi="Open Sans" w:cs="Open Sans"/>
          <w:b/>
          <w:sz w:val="22"/>
          <w:szCs w:val="22"/>
        </w:rPr>
        <w:footnoteReference w:id="2"/>
      </w:r>
      <w:r w:rsidRPr="00F9786B">
        <w:rPr>
          <w:rFonts w:ascii="Open Sans" w:hAnsi="Open Sans" w:cs="Open Sans"/>
          <w:b/>
          <w:sz w:val="22"/>
          <w:szCs w:val="22"/>
        </w:rPr>
        <w:t xml:space="preserve"> </w:t>
      </w:r>
    </w:p>
    <w:p w:rsidR="006B1055" w:rsidRPr="00F9786B" w:rsidRDefault="006B1055" w:rsidP="006B1055">
      <w:pPr>
        <w:jc w:val="both"/>
        <w:rPr>
          <w:rFonts w:ascii="Open Sans" w:hAnsi="Open Sans" w:cs="Open Sans"/>
        </w:rPr>
      </w:pPr>
      <w:r w:rsidRPr="00F9786B">
        <w:rPr>
          <w:rFonts w:ascii="Open Sans" w:eastAsiaTheme="minorEastAsia" w:hAnsi="Open Sans" w:cs="Open Sans"/>
          <w:lang w:eastAsia="es-ES"/>
        </w:rPr>
        <w:lastRenderedPageBreak/>
        <w:t>1. De acuerdo con lo establecido en el artículo 95.6 c) del TRLHL, se establecen las siguientes bonificaciones</w:t>
      </w:r>
      <w:r w:rsidRPr="00F9786B">
        <w:rPr>
          <w:rFonts w:ascii="Open Sans" w:hAnsi="Open Sans" w:cs="Open Sans"/>
        </w:rPr>
        <w:t>:</w:t>
      </w:r>
    </w:p>
    <w:p w:rsidR="006B1055" w:rsidRPr="00F9786B" w:rsidRDefault="006B1055" w:rsidP="006B1055">
      <w:pPr>
        <w:spacing w:after="0"/>
        <w:ind w:left="284"/>
        <w:jc w:val="both"/>
        <w:rPr>
          <w:rFonts w:ascii="Open Sans" w:hAnsi="Open Sans" w:cs="Open Sans"/>
        </w:rPr>
      </w:pPr>
      <w:r w:rsidRPr="00F9786B">
        <w:rPr>
          <w:rFonts w:ascii="Open Sans" w:hAnsi="Open Sans" w:cs="Open Sans"/>
        </w:rPr>
        <w:t xml:space="preserve">a) Se establece una bonificación </w:t>
      </w:r>
      <w:proofErr w:type="gramStart"/>
      <w:r w:rsidRPr="00F9786B">
        <w:rPr>
          <w:rFonts w:ascii="Open Sans" w:hAnsi="Open Sans" w:cs="Open Sans"/>
        </w:rPr>
        <w:t xml:space="preserve">del </w:t>
      </w:r>
      <w:r w:rsidRPr="00F9786B">
        <w:rPr>
          <w:rFonts w:ascii="Open Sans" w:hAnsi="Open Sans" w:cs="Open Sans"/>
          <w:highlight w:val="red"/>
        </w:rPr>
        <w:t>…</w:t>
      </w:r>
      <w:proofErr w:type="gramEnd"/>
      <w:r w:rsidRPr="00F9786B">
        <w:rPr>
          <w:rFonts w:ascii="Open Sans" w:hAnsi="Open Sans" w:cs="Open Sans"/>
        </w:rPr>
        <w:t>%</w:t>
      </w:r>
      <w:r w:rsidRPr="00F9786B">
        <w:rPr>
          <w:rStyle w:val="Refdenotaalpie"/>
          <w:rFonts w:ascii="Open Sans" w:hAnsi="Open Sans" w:cs="Open Sans"/>
        </w:rPr>
        <w:footnoteReference w:id="3"/>
      </w:r>
      <w:r w:rsidRPr="00F9786B">
        <w:rPr>
          <w:rFonts w:ascii="Open Sans" w:hAnsi="Open Sans" w:cs="Open Sans"/>
        </w:rPr>
        <w:t xml:space="preserve"> a favor de las construcciones, instalaciones u obras que sean declaradas  de especial interés o utilidad municipal por concurrir circunstancias sociales, culturales, histórico-artísticas o de fomento del empleo que justifiquen tal declaración. Corresponderá dicha declaración al Pleno de la Corporación y se acordará previa  solicitud del sujeto pasivo, por voto favorable de la mayoría simple de sus miembros.</w:t>
      </w:r>
    </w:p>
    <w:p w:rsidR="006B1055" w:rsidRPr="00F9786B" w:rsidRDefault="006B1055" w:rsidP="006B1055">
      <w:pPr>
        <w:spacing w:after="0"/>
        <w:ind w:left="284"/>
        <w:jc w:val="both"/>
        <w:rPr>
          <w:rFonts w:ascii="Open Sans" w:hAnsi="Open Sans" w:cs="Open Sans"/>
        </w:rPr>
      </w:pPr>
      <w:r w:rsidRPr="00F9786B">
        <w:rPr>
          <w:rFonts w:ascii="Open Sans" w:hAnsi="Open Sans" w:cs="Open Sans"/>
        </w:rPr>
        <w:t xml:space="preserve">La concesión de esta exención requiere solicitud previa por parte del sujeto pasivo. Junto a la solicitud de esta bonificación deberá aportarse la siguiente documentación acreditativa: </w:t>
      </w:r>
    </w:p>
    <w:p w:rsidR="006B1055" w:rsidRPr="00F9786B" w:rsidRDefault="006B1055" w:rsidP="006B1055">
      <w:pPr>
        <w:pStyle w:val="Prrafodelista"/>
        <w:numPr>
          <w:ilvl w:val="1"/>
          <w:numId w:val="18"/>
        </w:numPr>
        <w:spacing w:after="0" w:line="240" w:lineRule="auto"/>
        <w:jc w:val="both"/>
        <w:rPr>
          <w:rFonts w:ascii="Open Sans" w:hAnsi="Open Sans" w:cs="Open Sans"/>
        </w:rPr>
      </w:pPr>
      <w:r w:rsidRPr="00F9786B">
        <w:rPr>
          <w:rFonts w:ascii="Open Sans" w:hAnsi="Open Sans" w:cs="Open Sans"/>
        </w:rPr>
        <w:t>Declaración de especial interés o utilidad municipal concedida por el Pleno del Ayuntamiento.</w:t>
      </w:r>
    </w:p>
    <w:p w:rsidR="006B1055" w:rsidRPr="00F9786B" w:rsidRDefault="006B1055" w:rsidP="006B1055">
      <w:pPr>
        <w:pStyle w:val="Prrafodelista"/>
        <w:spacing w:after="0" w:line="240" w:lineRule="auto"/>
        <w:ind w:left="1440"/>
        <w:jc w:val="both"/>
        <w:rPr>
          <w:rFonts w:ascii="Open Sans" w:hAnsi="Open Sans" w:cs="Open Sans"/>
        </w:rPr>
      </w:pPr>
    </w:p>
    <w:p w:rsidR="006B1055" w:rsidRPr="00F9786B" w:rsidRDefault="006B1055" w:rsidP="006B1055">
      <w:pPr>
        <w:spacing w:after="0" w:line="240" w:lineRule="auto"/>
        <w:ind w:left="284"/>
        <w:jc w:val="both"/>
        <w:rPr>
          <w:rFonts w:ascii="Open Sans" w:hAnsi="Open Sans" w:cs="Open Sans"/>
        </w:rPr>
      </w:pPr>
      <w:r w:rsidRPr="00F9786B">
        <w:rPr>
          <w:rFonts w:ascii="Open Sans" w:hAnsi="Open Sans" w:cs="Open Sans"/>
        </w:rPr>
        <w:t xml:space="preserve">b) Una bonificación </w:t>
      </w:r>
      <w:proofErr w:type="gramStart"/>
      <w:r w:rsidRPr="00F9786B">
        <w:rPr>
          <w:rFonts w:ascii="Open Sans" w:hAnsi="Open Sans" w:cs="Open Sans"/>
        </w:rPr>
        <w:t xml:space="preserve">del </w:t>
      </w:r>
      <w:r w:rsidRPr="00F9786B">
        <w:rPr>
          <w:rFonts w:ascii="Open Sans" w:hAnsi="Open Sans" w:cs="Open Sans"/>
          <w:highlight w:val="red"/>
        </w:rPr>
        <w:t>…</w:t>
      </w:r>
      <w:proofErr w:type="gramEnd"/>
      <w:r w:rsidRPr="00F9786B">
        <w:rPr>
          <w:rFonts w:ascii="Open Sans" w:hAnsi="Open Sans" w:cs="Open Sans"/>
        </w:rPr>
        <w:t>%</w:t>
      </w:r>
      <w:r w:rsidRPr="00F9786B">
        <w:rPr>
          <w:rStyle w:val="Refdenotaalpie"/>
          <w:rFonts w:ascii="Open Sans" w:hAnsi="Open Sans" w:cs="Open Sans"/>
        </w:rPr>
        <w:footnoteReference w:id="4"/>
      </w:r>
      <w:r w:rsidRPr="00F9786B">
        <w:rPr>
          <w:rFonts w:ascii="Open Sans" w:hAnsi="Open Sans" w:cs="Open Sans"/>
        </w:rPr>
        <w:t xml:space="preserve"> a favor de las construcciones, instalaciones u obras en las que se incorporen sistemas para la producción y autoconsumo de energía solar fotovoltaica aisladas, con y sin acumulación, así como las contempladas en el artículo 9 “Autoconsumo de energía eléctrica” de la Ley 24/2013, de 26 de diciembre, del Sector Eléctrico.</w:t>
      </w:r>
    </w:p>
    <w:p w:rsidR="006B1055" w:rsidRPr="00F9786B" w:rsidRDefault="006B1055" w:rsidP="006B1055">
      <w:pPr>
        <w:spacing w:after="0" w:line="240" w:lineRule="auto"/>
        <w:ind w:left="284"/>
        <w:jc w:val="both"/>
        <w:rPr>
          <w:rFonts w:ascii="Open Sans" w:hAnsi="Open Sans" w:cs="Open Sans"/>
        </w:rPr>
      </w:pPr>
      <w:r w:rsidRPr="00F9786B">
        <w:rPr>
          <w:rFonts w:ascii="Open Sans" w:hAnsi="Open Sans" w:cs="Open Sans"/>
        </w:rPr>
        <w:t>Es requisito indispensable que las instalaciones para producción de calor incluyan colectores que dispongan de la correspondiente homologación por la Administración competente.</w:t>
      </w:r>
    </w:p>
    <w:p w:rsidR="006B1055" w:rsidRPr="00F9786B" w:rsidRDefault="006B1055" w:rsidP="006B1055">
      <w:pPr>
        <w:ind w:left="284"/>
        <w:jc w:val="both"/>
        <w:rPr>
          <w:rFonts w:ascii="Open Sans" w:hAnsi="Open Sans" w:cs="Open Sans"/>
        </w:rPr>
      </w:pPr>
      <w:r w:rsidRPr="00F9786B">
        <w:rPr>
          <w:rFonts w:ascii="Open Sans" w:hAnsi="Open Sans" w:cs="Open Sans"/>
        </w:rPr>
        <w:t xml:space="preserve">No se concederá la bonificación cuando la instalación de los sistemas de aprovechamiento térmico o eléctrico sea obligatoria de acuerdo con la normativa específica en la materia </w:t>
      </w:r>
    </w:p>
    <w:p w:rsidR="006B1055" w:rsidRPr="00F9786B" w:rsidRDefault="006B1055" w:rsidP="006B1055">
      <w:pPr>
        <w:ind w:left="284"/>
        <w:jc w:val="both"/>
        <w:rPr>
          <w:rFonts w:ascii="Open Sans" w:hAnsi="Open Sans" w:cs="Open Sans"/>
        </w:rPr>
      </w:pPr>
      <w:r w:rsidRPr="00F9786B">
        <w:rPr>
          <w:rFonts w:ascii="Open Sans" w:hAnsi="Open Sans" w:cs="Open Sans"/>
        </w:rPr>
        <w:t>Está bonificación ostenta carácter rogado, y alcanzará exclusivamente a la parte de la cuota tributaria correspondiente a las construcciones, instalaciones y obras destinadas estrictamente a dicho fin. A tal efecto, deberá adjuntarse a la solicitud, la siguiente documentación acreditativa:</w:t>
      </w:r>
    </w:p>
    <w:p w:rsidR="006B1055" w:rsidRPr="00F9786B" w:rsidRDefault="006B1055" w:rsidP="006B1055">
      <w:pPr>
        <w:pStyle w:val="Prrafodelista"/>
        <w:numPr>
          <w:ilvl w:val="0"/>
          <w:numId w:val="24"/>
        </w:numPr>
        <w:jc w:val="both"/>
        <w:rPr>
          <w:rFonts w:ascii="Open Sans" w:hAnsi="Open Sans" w:cs="Open Sans"/>
        </w:rPr>
      </w:pPr>
      <w:r w:rsidRPr="00F9786B">
        <w:rPr>
          <w:rFonts w:ascii="Open Sans" w:hAnsi="Open Sans" w:cs="Open Sans"/>
        </w:rPr>
        <w:t>Desglose del presupuesto en el que se determine razonadamente el coste que supone la construcción, instalación u obra de dichos sistemas de aprovechamiento de la energía solar.</w:t>
      </w:r>
    </w:p>
    <w:p w:rsidR="006B1055" w:rsidRPr="00F9786B" w:rsidRDefault="006B1055" w:rsidP="006B1055">
      <w:pPr>
        <w:pStyle w:val="Prrafodelista"/>
        <w:numPr>
          <w:ilvl w:val="0"/>
          <w:numId w:val="24"/>
        </w:numPr>
        <w:jc w:val="both"/>
        <w:rPr>
          <w:rFonts w:ascii="Open Sans" w:hAnsi="Open Sans" w:cs="Open Sans"/>
        </w:rPr>
      </w:pPr>
      <w:r w:rsidRPr="00F9786B">
        <w:rPr>
          <w:rFonts w:ascii="Open Sans" w:eastAsia="Times New Roman" w:hAnsi="Open Sans" w:cs="Open Sans"/>
          <w:lang w:eastAsia="es-ES"/>
        </w:rPr>
        <w:t>Certificado firmado por un técnico competente y visado por su respectivo Colegio Profesional donde se refleje que la instalación de los sistemas de aprovechamiento de la energía solar no es obligatoria por la normativa específica en la materia.</w:t>
      </w:r>
    </w:p>
    <w:p w:rsidR="006B1055" w:rsidRPr="00F9786B" w:rsidRDefault="006B1055" w:rsidP="006B1055">
      <w:pPr>
        <w:pStyle w:val="Prrafodelista"/>
        <w:numPr>
          <w:ilvl w:val="0"/>
          <w:numId w:val="24"/>
        </w:numPr>
        <w:jc w:val="both"/>
        <w:rPr>
          <w:rFonts w:ascii="Open Sans" w:hAnsi="Open Sans" w:cs="Open Sans"/>
        </w:rPr>
      </w:pPr>
      <w:r w:rsidRPr="00F9786B">
        <w:rPr>
          <w:rFonts w:ascii="Open Sans" w:eastAsia="Times New Roman" w:hAnsi="Open Sans" w:cs="Open Sans"/>
          <w:lang w:eastAsia="es-ES"/>
        </w:rPr>
        <w:t>Registro del certificado de la instalación/inscripción por parte del órgano competente de la Dirección General de Industria, Energía y Minas de la Junta de Extremadura.</w:t>
      </w:r>
    </w:p>
    <w:p w:rsidR="006B1055" w:rsidRPr="00F9786B" w:rsidRDefault="006B1055" w:rsidP="006B1055">
      <w:pPr>
        <w:tabs>
          <w:tab w:val="num" w:pos="2165"/>
        </w:tabs>
        <w:spacing w:after="0"/>
        <w:ind w:left="284"/>
        <w:jc w:val="both"/>
        <w:rPr>
          <w:rFonts w:ascii="Open Sans" w:hAnsi="Open Sans" w:cs="Open Sans"/>
        </w:rPr>
      </w:pPr>
      <w:r w:rsidRPr="00F9786B">
        <w:rPr>
          <w:rFonts w:ascii="Open Sans" w:hAnsi="Open Sans" w:cs="Open Sans"/>
        </w:rPr>
        <w:lastRenderedPageBreak/>
        <w:t xml:space="preserve">c) Se establece una bonificación </w:t>
      </w:r>
      <w:proofErr w:type="gramStart"/>
      <w:r w:rsidRPr="00F9786B">
        <w:rPr>
          <w:rFonts w:ascii="Open Sans" w:hAnsi="Open Sans" w:cs="Open Sans"/>
        </w:rPr>
        <w:t xml:space="preserve">del </w:t>
      </w:r>
      <w:r w:rsidRPr="00F9786B">
        <w:rPr>
          <w:rFonts w:ascii="Open Sans" w:hAnsi="Open Sans" w:cs="Open Sans"/>
          <w:highlight w:val="red"/>
        </w:rPr>
        <w:t>…</w:t>
      </w:r>
      <w:proofErr w:type="gramEnd"/>
      <w:r w:rsidRPr="00F9786B">
        <w:rPr>
          <w:rFonts w:ascii="Open Sans" w:hAnsi="Open Sans" w:cs="Open Sans"/>
        </w:rPr>
        <w:t>%</w:t>
      </w:r>
      <w:r w:rsidRPr="00F9786B">
        <w:rPr>
          <w:rStyle w:val="Refdenotaalpie"/>
          <w:rFonts w:ascii="Open Sans" w:hAnsi="Open Sans" w:cs="Open Sans"/>
        </w:rPr>
        <w:footnoteReference w:id="5"/>
      </w:r>
      <w:r w:rsidRPr="00F9786B">
        <w:rPr>
          <w:rFonts w:ascii="Open Sans" w:hAnsi="Open Sans" w:cs="Open Sans"/>
        </w:rPr>
        <w:t xml:space="preserve"> a favor de las construcciones, instalaciones u obras vinculadas a los planes de fomento de las inversiones privadas en infraestructuras. </w:t>
      </w:r>
    </w:p>
    <w:p w:rsidR="006B1055" w:rsidRPr="00F9786B" w:rsidRDefault="006B1055" w:rsidP="006B1055">
      <w:pPr>
        <w:spacing w:after="0" w:line="240" w:lineRule="auto"/>
        <w:ind w:left="284"/>
        <w:jc w:val="both"/>
        <w:rPr>
          <w:rFonts w:ascii="Open Sans" w:hAnsi="Open Sans" w:cs="Open Sans"/>
        </w:rPr>
      </w:pPr>
      <w:r w:rsidRPr="00F9786B">
        <w:rPr>
          <w:rFonts w:ascii="Open Sans" w:hAnsi="Open Sans" w:cs="Open Sans"/>
        </w:rPr>
        <w:t xml:space="preserve">La concesión de esta exención requiere solicitud previa por parte del sujeto pasivo. Junto a la solicitud de esta bonificación deberá aportarse la siguiente documentación acreditativa: </w:t>
      </w:r>
    </w:p>
    <w:p w:rsidR="006B1055" w:rsidRPr="00F9786B" w:rsidRDefault="006B1055" w:rsidP="006B1055">
      <w:pPr>
        <w:pStyle w:val="Prrafodelista"/>
        <w:numPr>
          <w:ilvl w:val="0"/>
          <w:numId w:val="24"/>
        </w:numPr>
        <w:tabs>
          <w:tab w:val="num" w:pos="2165"/>
        </w:tabs>
        <w:jc w:val="both"/>
        <w:rPr>
          <w:rFonts w:ascii="Open Sans" w:hAnsi="Open Sans" w:cs="Open Sans"/>
        </w:rPr>
      </w:pPr>
      <w:r w:rsidRPr="00F9786B">
        <w:rPr>
          <w:rFonts w:ascii="Open Sans" w:hAnsi="Open Sans" w:cs="Open Sans"/>
        </w:rPr>
        <w:t>Plan de fomento de inversión al que se vincula la construcción, instalaciones u obra.</w:t>
      </w:r>
    </w:p>
    <w:p w:rsidR="006B1055" w:rsidRPr="00F9786B" w:rsidRDefault="006B1055" w:rsidP="006B1055">
      <w:pPr>
        <w:spacing w:after="0"/>
        <w:ind w:left="284"/>
        <w:jc w:val="both"/>
        <w:rPr>
          <w:rFonts w:ascii="Open Sans" w:hAnsi="Open Sans" w:cs="Open Sans"/>
        </w:rPr>
      </w:pPr>
      <w:r w:rsidRPr="00F9786B">
        <w:rPr>
          <w:rFonts w:ascii="Open Sans" w:hAnsi="Open Sans" w:cs="Open Sans"/>
        </w:rPr>
        <w:t xml:space="preserve">d) Una bonificación  </w:t>
      </w:r>
      <w:proofErr w:type="gramStart"/>
      <w:r w:rsidRPr="00F9786B">
        <w:rPr>
          <w:rFonts w:ascii="Open Sans" w:hAnsi="Open Sans" w:cs="Open Sans"/>
        </w:rPr>
        <w:t xml:space="preserve">del </w:t>
      </w:r>
      <w:r w:rsidRPr="00F9786B">
        <w:rPr>
          <w:rFonts w:ascii="Open Sans" w:hAnsi="Open Sans" w:cs="Open Sans"/>
          <w:highlight w:val="red"/>
        </w:rPr>
        <w:t>…</w:t>
      </w:r>
      <w:proofErr w:type="gramEnd"/>
      <w:r w:rsidRPr="00F9786B">
        <w:rPr>
          <w:rFonts w:ascii="Open Sans" w:hAnsi="Open Sans" w:cs="Open Sans"/>
        </w:rPr>
        <w:t>%</w:t>
      </w:r>
      <w:r w:rsidRPr="00F9786B">
        <w:rPr>
          <w:rStyle w:val="Refdenotaalpie"/>
          <w:rFonts w:ascii="Open Sans" w:hAnsi="Open Sans" w:cs="Open Sans"/>
        </w:rPr>
        <w:footnoteReference w:id="6"/>
      </w:r>
      <w:r w:rsidRPr="00F9786B">
        <w:rPr>
          <w:rFonts w:ascii="Open Sans" w:hAnsi="Open Sans" w:cs="Open Sans"/>
        </w:rPr>
        <w:t xml:space="preserve"> a favor de las construcciones, instalaciones u obras referentes a las viviendas de protección oficial.</w:t>
      </w:r>
    </w:p>
    <w:p w:rsidR="006B1055" w:rsidRPr="00F9786B" w:rsidRDefault="006B1055" w:rsidP="006B1055">
      <w:pPr>
        <w:spacing w:after="0" w:line="240" w:lineRule="auto"/>
        <w:ind w:left="284"/>
        <w:jc w:val="both"/>
        <w:rPr>
          <w:rFonts w:ascii="Open Sans" w:hAnsi="Open Sans" w:cs="Open Sans"/>
        </w:rPr>
      </w:pPr>
      <w:r w:rsidRPr="00F9786B">
        <w:rPr>
          <w:rFonts w:ascii="Open Sans" w:hAnsi="Open Sans" w:cs="Open Sans"/>
        </w:rPr>
        <w:t xml:space="preserve">La concesión de esta exención requiere solicitud previa por parte del sujeto pasivo. </w:t>
      </w:r>
    </w:p>
    <w:p w:rsidR="006B1055" w:rsidRPr="00F9786B" w:rsidRDefault="006B1055" w:rsidP="006B1055">
      <w:pPr>
        <w:spacing w:after="0" w:line="240" w:lineRule="auto"/>
        <w:ind w:left="284"/>
        <w:jc w:val="both"/>
        <w:rPr>
          <w:rFonts w:ascii="Open Sans" w:hAnsi="Open Sans" w:cs="Open Sans"/>
        </w:rPr>
      </w:pPr>
      <w:r w:rsidRPr="00F9786B">
        <w:rPr>
          <w:rFonts w:ascii="Open Sans" w:hAnsi="Open Sans" w:cs="Open Sans"/>
        </w:rPr>
        <w:t xml:space="preserve">Junto a la solicitud de esta bonificación deberá aportarse la siguiente documentación acreditativa: </w:t>
      </w:r>
    </w:p>
    <w:p w:rsidR="006B1055" w:rsidRPr="00F9786B" w:rsidRDefault="006B1055" w:rsidP="006B1055">
      <w:pPr>
        <w:pStyle w:val="Prrafodelista"/>
        <w:numPr>
          <w:ilvl w:val="0"/>
          <w:numId w:val="27"/>
        </w:numPr>
        <w:jc w:val="both"/>
        <w:rPr>
          <w:rFonts w:ascii="Open Sans" w:hAnsi="Open Sans" w:cs="Open Sans"/>
        </w:rPr>
      </w:pPr>
      <w:r w:rsidRPr="00F9786B">
        <w:rPr>
          <w:rFonts w:ascii="Open Sans" w:hAnsi="Open Sans" w:cs="Open Sans"/>
        </w:rPr>
        <w:t>Calificación provisional de las viviendas, expedida por el organismo competente de la Junta de Extremadura.</w:t>
      </w:r>
    </w:p>
    <w:p w:rsidR="006B1055" w:rsidRPr="00F9786B" w:rsidRDefault="006B1055" w:rsidP="006B1055">
      <w:pPr>
        <w:spacing w:after="0"/>
        <w:ind w:left="284"/>
        <w:jc w:val="both"/>
        <w:rPr>
          <w:rFonts w:ascii="Open Sans" w:hAnsi="Open Sans" w:cs="Open Sans"/>
        </w:rPr>
      </w:pPr>
      <w:r w:rsidRPr="00F9786B">
        <w:rPr>
          <w:rFonts w:ascii="Open Sans" w:hAnsi="Open Sans" w:cs="Open Sans"/>
        </w:rPr>
        <w:t xml:space="preserve">e) Una bonificación del </w:t>
      </w:r>
      <w:r w:rsidRPr="00F9786B">
        <w:rPr>
          <w:rFonts w:ascii="Open Sans" w:hAnsi="Open Sans" w:cs="Open Sans"/>
          <w:highlight w:val="red"/>
        </w:rPr>
        <w:t>…</w:t>
      </w:r>
      <w:r w:rsidRPr="00F9786B">
        <w:rPr>
          <w:rFonts w:ascii="Open Sans" w:hAnsi="Open Sans" w:cs="Open Sans"/>
        </w:rPr>
        <w:t>%</w:t>
      </w:r>
      <w:r w:rsidRPr="00F9786B">
        <w:rPr>
          <w:rStyle w:val="Refdenotaalpie"/>
          <w:rFonts w:ascii="Open Sans" w:hAnsi="Open Sans" w:cs="Open Sans"/>
        </w:rPr>
        <w:footnoteReference w:id="7"/>
      </w:r>
      <w:r w:rsidRPr="00F9786B">
        <w:rPr>
          <w:rFonts w:ascii="Open Sans" w:hAnsi="Open Sans" w:cs="Open Sans"/>
        </w:rPr>
        <w:t xml:space="preserve"> a favor de las construcciones, instalaciones u obras que favorezcan las condiciones de acceso y habitabilidad de los discapacitados, siempre que se acredite ante el órgano gestor, la necesidad de ejecutar dichas actuaciones a fin de garantizar la accesibilidad de las personas con discapacidad.</w:t>
      </w:r>
    </w:p>
    <w:p w:rsidR="006B1055" w:rsidRPr="00F9786B" w:rsidRDefault="006B1055" w:rsidP="006B1055">
      <w:pPr>
        <w:spacing w:after="0"/>
        <w:ind w:left="284"/>
        <w:jc w:val="both"/>
        <w:rPr>
          <w:rFonts w:ascii="Open Sans" w:hAnsi="Open Sans" w:cs="Open Sans"/>
        </w:rPr>
      </w:pPr>
      <w:r w:rsidRPr="00F9786B">
        <w:rPr>
          <w:rFonts w:ascii="Open Sans" w:hAnsi="Open Sans" w:cs="Open Sans"/>
        </w:rPr>
        <w:t>No se concederá esta bonificación cuando la implantación de estos sistemas sea obligatoria a tenor de la normativa específica en la materia</w:t>
      </w:r>
    </w:p>
    <w:p w:rsidR="006B1055" w:rsidRPr="00F9786B" w:rsidRDefault="006B1055" w:rsidP="006B1055">
      <w:pPr>
        <w:spacing w:after="0"/>
        <w:ind w:left="284"/>
        <w:jc w:val="both"/>
        <w:rPr>
          <w:rFonts w:ascii="Open Sans" w:hAnsi="Open Sans" w:cs="Open Sans"/>
        </w:rPr>
      </w:pPr>
      <w:r w:rsidRPr="00F9786B">
        <w:rPr>
          <w:rFonts w:ascii="Open Sans" w:hAnsi="Open Sans" w:cs="Open Sans"/>
        </w:rPr>
        <w:t>Está bonificación alcanzará exclusivamente a la parte de la cuota tributaria correspondiente a las construcciones, instalaciones y obras destinadas estrictamente a dicho fin.</w:t>
      </w:r>
    </w:p>
    <w:p w:rsidR="006B1055" w:rsidRPr="00F9786B" w:rsidRDefault="006B1055" w:rsidP="006B1055">
      <w:pPr>
        <w:ind w:left="284"/>
        <w:jc w:val="both"/>
        <w:rPr>
          <w:rFonts w:ascii="Open Sans" w:hAnsi="Open Sans" w:cs="Open Sans"/>
        </w:rPr>
      </w:pPr>
      <w:r w:rsidRPr="00F9786B">
        <w:rPr>
          <w:rFonts w:ascii="Open Sans" w:hAnsi="Open Sans" w:cs="Open Sans"/>
        </w:rPr>
        <w:t>A tal efecto, deberá adjuntarse junto a la solicitud, la siguiente documentación:</w:t>
      </w:r>
    </w:p>
    <w:p w:rsidR="006B1055" w:rsidRPr="00F9786B" w:rsidRDefault="006B1055" w:rsidP="006B1055">
      <w:pPr>
        <w:pStyle w:val="Prrafodelista"/>
        <w:numPr>
          <w:ilvl w:val="0"/>
          <w:numId w:val="25"/>
        </w:numPr>
        <w:jc w:val="both"/>
        <w:rPr>
          <w:rFonts w:ascii="Open Sans" w:hAnsi="Open Sans" w:cs="Open Sans"/>
        </w:rPr>
      </w:pPr>
      <w:r w:rsidRPr="00F9786B">
        <w:rPr>
          <w:rFonts w:ascii="Open Sans" w:hAnsi="Open Sans" w:cs="Open Sans"/>
        </w:rPr>
        <w:t xml:space="preserve">Desglose del presupuesto en el que se determine el coste de las construcciones, instalaciones u obras amparadas por esta bonificación, </w:t>
      </w:r>
    </w:p>
    <w:p w:rsidR="006B1055" w:rsidRDefault="006B1055" w:rsidP="006B1055">
      <w:pPr>
        <w:pStyle w:val="Prrafodelista"/>
        <w:numPr>
          <w:ilvl w:val="0"/>
          <w:numId w:val="25"/>
        </w:numPr>
        <w:jc w:val="both"/>
        <w:rPr>
          <w:rFonts w:ascii="Open Sans" w:hAnsi="Open Sans" w:cs="Open Sans"/>
        </w:rPr>
      </w:pPr>
      <w:r w:rsidRPr="00F9786B">
        <w:rPr>
          <w:rFonts w:ascii="Open Sans" w:hAnsi="Open Sans" w:cs="Open Sans"/>
        </w:rPr>
        <w:t>Declaración administrativa de discapacidad expedida por el organismo o autoridad competente.</w:t>
      </w:r>
    </w:p>
    <w:p w:rsidR="007C6A78" w:rsidRPr="007C6A78" w:rsidRDefault="007C6A78" w:rsidP="007C6A78">
      <w:pPr>
        <w:spacing w:after="0"/>
        <w:ind w:left="284"/>
        <w:jc w:val="both"/>
        <w:rPr>
          <w:rFonts w:ascii="Open Sans" w:hAnsi="Open Sans" w:cs="Open Sans"/>
        </w:rPr>
      </w:pPr>
      <w:r>
        <w:rPr>
          <w:rFonts w:ascii="Open Sans" w:hAnsi="Open Sans" w:cs="Open Sans"/>
        </w:rPr>
        <w:t xml:space="preserve">f) </w:t>
      </w:r>
      <w:r w:rsidRPr="007C6A78">
        <w:rPr>
          <w:rFonts w:ascii="Open Sans" w:hAnsi="Open Sans" w:cs="Open Sans"/>
        </w:rPr>
        <w:t xml:space="preserve">Una bonificación </w:t>
      </w:r>
      <w:proofErr w:type="gramStart"/>
      <w:r w:rsidRPr="007C6A78">
        <w:rPr>
          <w:rFonts w:ascii="Open Sans" w:hAnsi="Open Sans" w:cs="Open Sans"/>
        </w:rPr>
        <w:t>del </w:t>
      </w:r>
      <w:r w:rsidRPr="00F9786B">
        <w:rPr>
          <w:rFonts w:ascii="Open Sans" w:hAnsi="Open Sans" w:cs="Open Sans"/>
          <w:highlight w:val="red"/>
        </w:rPr>
        <w:t>…</w:t>
      </w:r>
      <w:proofErr w:type="gramEnd"/>
      <w:r w:rsidRPr="00F9786B">
        <w:rPr>
          <w:rFonts w:ascii="Open Sans" w:hAnsi="Open Sans" w:cs="Open Sans"/>
        </w:rPr>
        <w:t>%</w:t>
      </w:r>
      <w:r w:rsidRPr="00F9786B">
        <w:rPr>
          <w:rStyle w:val="Refdenotaalpie"/>
          <w:rFonts w:ascii="Open Sans" w:hAnsi="Open Sans" w:cs="Open Sans"/>
        </w:rPr>
        <w:footnoteReference w:id="8"/>
      </w:r>
      <w:r w:rsidRPr="007C6A78">
        <w:rPr>
          <w:rFonts w:ascii="Open Sans" w:hAnsi="Open Sans" w:cs="Open Sans"/>
        </w:rPr>
        <w:t> a favor de las construcciones, instalaciones u obras necesarias para la instalación de puntos de recarga para vehículos eléctricos. La aplicación de esta bonificación estará condicionada a que las instalaciones dispongan de la correspondiente homologación por la Administración competente. La bonificación prevista en este párrafo se aplicará a la cuota resultante de aplicar, en su caso, las bonificaciones a que se refieren los párrafos anteriores.</w:t>
      </w:r>
    </w:p>
    <w:p w:rsidR="006B1055" w:rsidRPr="00B43736" w:rsidRDefault="006B1055" w:rsidP="006B1055">
      <w:pPr>
        <w:jc w:val="both"/>
        <w:rPr>
          <w:rFonts w:ascii="Open Sans" w:hAnsi="Open Sans" w:cs="Open Sans"/>
        </w:rPr>
      </w:pPr>
      <w:r>
        <w:rPr>
          <w:rStyle w:val="Refdenotaalpie"/>
          <w:rFonts w:ascii="Open Sans" w:hAnsi="Open Sans" w:cs="Open Sans"/>
        </w:rPr>
        <w:footnoteReference w:id="9"/>
      </w:r>
    </w:p>
    <w:p w:rsidR="006B1055" w:rsidRPr="00F9786B" w:rsidRDefault="006B1055" w:rsidP="006B1055">
      <w:pPr>
        <w:spacing w:line="240" w:lineRule="auto"/>
        <w:jc w:val="both"/>
        <w:rPr>
          <w:rFonts w:ascii="Open Sans" w:hAnsi="Open Sans" w:cs="Open Sans"/>
          <w:u w:val="single"/>
        </w:rPr>
      </w:pPr>
      <w:r w:rsidRPr="00F9786B">
        <w:rPr>
          <w:rFonts w:ascii="Open Sans" w:hAnsi="Open Sans" w:cs="Open Sans"/>
        </w:rPr>
        <w:lastRenderedPageBreak/>
        <w:t>2. Las bonificaciones reguladas en los apartados anteriores de este artículo son compatibles entre sí cuando así lo permita la naturaleza de la bonificación y del bien inmueble correspondiente; y se aplicarán, en su caso, por el orden en el que las mismas aparecen relacionadas en los apartados citados, minorándose sucesivamente sobre la cuota íntegra del Impuesto.</w:t>
      </w:r>
      <w:r w:rsidRPr="00F9786B">
        <w:rPr>
          <w:rFonts w:ascii="Open Sans" w:hAnsi="Open Sans" w:cs="Open Sans"/>
          <w:u w:val="single"/>
        </w:rPr>
        <w:t xml:space="preserve"> </w:t>
      </w:r>
    </w:p>
    <w:p w:rsidR="006B1055" w:rsidRPr="00F9786B" w:rsidRDefault="006B1055" w:rsidP="006B1055">
      <w:pPr>
        <w:jc w:val="both"/>
        <w:rPr>
          <w:rFonts w:ascii="Open Sans" w:hAnsi="Open Sans" w:cs="Open Sans"/>
        </w:rPr>
      </w:pPr>
      <w:r w:rsidRPr="00F9786B">
        <w:rPr>
          <w:rFonts w:ascii="Open Sans" w:hAnsi="Open Sans" w:cs="Open Sans"/>
        </w:rPr>
        <w:t>3. Las bonificaciones previstas en los apartados anteriores tendrán carácter rogado, debiendo ser solicitadas por los interesados junto a la declaración del impuesto, en el plazo de 15 días desde  la solicitud de la licencia o la presentación de la declaración responsable o comunicación previa. No obstante,  los beneficios fiscales a que se refieren las secciones anteriores tendrán carácter provisional en tanto no se proceda por la Administración municipal, a la comprobación de los hechos y circunstancias  que permitieren su disfrute, se dicte  la correspondiente liquidación definitiva, o transcurrieren los plazos habilitados para ello.</w:t>
      </w:r>
    </w:p>
    <w:p w:rsidR="006B1055" w:rsidRPr="00F9786B" w:rsidRDefault="006B1055" w:rsidP="006B1055">
      <w:pPr>
        <w:keepNext/>
        <w:spacing w:after="0" w:line="240" w:lineRule="auto"/>
        <w:jc w:val="both"/>
        <w:outlineLvl w:val="2"/>
        <w:rPr>
          <w:rFonts w:ascii="Open Sans" w:eastAsia="Times New Roman" w:hAnsi="Open Sans" w:cs="Open Sans"/>
          <w:b/>
          <w:bCs/>
          <w:lang w:eastAsia="es-ES"/>
        </w:rPr>
      </w:pPr>
      <w:r w:rsidRPr="00F9786B">
        <w:rPr>
          <w:rFonts w:ascii="Open Sans" w:eastAsia="Times New Roman" w:hAnsi="Open Sans" w:cs="Open Sans"/>
          <w:b/>
          <w:bCs/>
          <w:lang w:eastAsia="es-ES"/>
        </w:rPr>
        <w:t>Artículo 9.</w:t>
      </w:r>
      <w:r w:rsidRPr="00F9786B">
        <w:rPr>
          <w:rFonts w:ascii="Open Sans" w:eastAsia="Times New Roman" w:hAnsi="Open Sans" w:cs="Open Sans"/>
          <w:b/>
          <w:bCs/>
          <w:lang w:eastAsia="es-ES"/>
        </w:rPr>
        <w:tab/>
        <w:t>DEVENGO.</w:t>
      </w:r>
    </w:p>
    <w:p w:rsidR="006B1055" w:rsidRPr="00F9786B" w:rsidRDefault="006B1055" w:rsidP="006B1055">
      <w:pPr>
        <w:spacing w:after="0" w:line="240" w:lineRule="auto"/>
        <w:jc w:val="both"/>
        <w:rPr>
          <w:rFonts w:ascii="Open Sans" w:eastAsia="Times New Roman" w:hAnsi="Open Sans" w:cs="Open Sans"/>
          <w:b/>
          <w:bCs/>
          <w:lang w:val="es-ES_tradnl" w:eastAsia="es-ES"/>
        </w:rPr>
      </w:pPr>
    </w:p>
    <w:p w:rsidR="006B1055" w:rsidRPr="00F9786B" w:rsidRDefault="006B1055" w:rsidP="006B1055">
      <w:pPr>
        <w:spacing w:after="0" w:line="240" w:lineRule="auto"/>
        <w:jc w:val="both"/>
        <w:rPr>
          <w:rFonts w:ascii="Open Sans" w:eastAsia="Times New Roman" w:hAnsi="Open Sans" w:cs="Open Sans"/>
          <w:lang w:val="es-ES_tradnl" w:eastAsia="es-ES"/>
        </w:rPr>
      </w:pPr>
      <w:r w:rsidRPr="00F9786B">
        <w:rPr>
          <w:rFonts w:ascii="Open Sans" w:eastAsia="Times New Roman" w:hAnsi="Open Sans" w:cs="Open Sans"/>
          <w:lang w:val="es-ES_tradnl" w:eastAsia="es-ES"/>
        </w:rPr>
        <w:t>1. El Impuesto se devenga en el momento de iniciarse la construcción, instalación u obra, aun cuando no se haya obtenido la correspondiente licencia, o no se haya presentado la correspondiente declaración responsable o comunicación previa.</w:t>
      </w:r>
    </w:p>
    <w:p w:rsidR="006B1055" w:rsidRPr="00F9786B" w:rsidRDefault="006B1055" w:rsidP="006B1055">
      <w:pPr>
        <w:tabs>
          <w:tab w:val="left" w:pos="1574"/>
        </w:tabs>
        <w:spacing w:before="240" w:after="0"/>
        <w:jc w:val="both"/>
        <w:rPr>
          <w:rFonts w:ascii="Open Sans" w:hAnsi="Open Sans" w:cs="Open Sans"/>
          <w:lang w:val="es-ES_tradnl"/>
        </w:rPr>
      </w:pPr>
      <w:r w:rsidRPr="00F9786B">
        <w:rPr>
          <w:rFonts w:ascii="Open Sans" w:hAnsi="Open Sans" w:cs="Open Sans"/>
          <w:lang w:val="es-ES_tradnl"/>
        </w:rPr>
        <w:t>2. A los efectos de este impuesto, se entenderán iniciadas las construcciones, instalaciones u obras, salvo prueba en contrario:</w:t>
      </w:r>
    </w:p>
    <w:p w:rsidR="006B1055" w:rsidRPr="00F9786B" w:rsidRDefault="006B1055" w:rsidP="006B1055">
      <w:pPr>
        <w:tabs>
          <w:tab w:val="left" w:pos="1574"/>
        </w:tabs>
        <w:spacing w:after="0"/>
        <w:ind w:left="284"/>
        <w:jc w:val="both"/>
        <w:rPr>
          <w:rFonts w:ascii="Open Sans" w:hAnsi="Open Sans" w:cs="Open Sans"/>
          <w:lang w:val="es-ES_tradnl"/>
        </w:rPr>
      </w:pPr>
      <w:r w:rsidRPr="00F9786B">
        <w:rPr>
          <w:rFonts w:ascii="Open Sans" w:hAnsi="Open Sans" w:cs="Open Sans"/>
          <w:lang w:val="es-ES_tradnl"/>
        </w:rPr>
        <w:t>a) Cuando haya sido concedida la preceptiva licencia municipal, o dictado el acto administrativo que autorice la ejecución de la construcción, instalación u obra, en la fecha en que sea notificada dicha concesión o autorización o, en el caso de que no pueda practicarse la notificación, a los 30 días de la fecha del Decreto por el que se concede la licencia o autoriza el acto.</w:t>
      </w:r>
    </w:p>
    <w:p w:rsidR="006B1055" w:rsidRPr="00F9786B" w:rsidRDefault="006B1055" w:rsidP="006B1055">
      <w:pPr>
        <w:tabs>
          <w:tab w:val="left" w:pos="1574"/>
        </w:tabs>
        <w:spacing w:after="0"/>
        <w:ind w:left="284"/>
        <w:rPr>
          <w:rFonts w:ascii="Open Sans" w:hAnsi="Open Sans" w:cs="Open Sans"/>
          <w:lang w:val="es-ES_tradnl"/>
        </w:rPr>
      </w:pPr>
      <w:r w:rsidRPr="00F9786B">
        <w:rPr>
          <w:rFonts w:ascii="Open Sans" w:hAnsi="Open Sans" w:cs="Open Sans"/>
          <w:lang w:val="es-ES_tradnl"/>
        </w:rPr>
        <w:t>b) Cuando se haya presentado declaración responsable o comunicación previa en la fecha en que la misma tenga entrada en registro.</w:t>
      </w:r>
    </w:p>
    <w:p w:rsidR="006B1055" w:rsidRPr="00F9786B" w:rsidRDefault="006B1055" w:rsidP="006B1055">
      <w:pPr>
        <w:tabs>
          <w:tab w:val="left" w:pos="1574"/>
        </w:tabs>
        <w:spacing w:after="0"/>
        <w:ind w:left="284"/>
        <w:jc w:val="both"/>
        <w:rPr>
          <w:rFonts w:ascii="Open Sans" w:hAnsi="Open Sans" w:cs="Open Sans"/>
          <w:lang w:val="es-ES_tradnl"/>
        </w:rPr>
      </w:pPr>
      <w:r w:rsidRPr="00F9786B">
        <w:rPr>
          <w:rFonts w:ascii="Open Sans" w:hAnsi="Open Sans" w:cs="Open Sans"/>
          <w:lang w:val="es-ES_tradnl"/>
        </w:rPr>
        <w:t>c) Cuando, sin haberse concedido por el Ayuntamiento la preceptiva licencia o acto administrativo autorizante a que se refiere la letra a) de este apartado, ni presentado la declaración responsable o comunicación previa, se efectúe por el sujeto pasivo cualquier clase de acto material o jurídico tendente a la realización de las construcciones, instalaciones u obras.</w:t>
      </w:r>
    </w:p>
    <w:p w:rsidR="006B1055" w:rsidRPr="00F9786B" w:rsidRDefault="006B1055" w:rsidP="006B1055">
      <w:pPr>
        <w:tabs>
          <w:tab w:val="left" w:pos="1574"/>
        </w:tabs>
        <w:spacing w:after="0"/>
        <w:ind w:left="284"/>
        <w:jc w:val="both"/>
        <w:rPr>
          <w:rFonts w:ascii="Open Sans" w:hAnsi="Open Sans" w:cs="Open Sans"/>
          <w:lang w:val="es-ES_tradnl"/>
        </w:rPr>
      </w:pPr>
    </w:p>
    <w:p w:rsidR="006B1055" w:rsidRPr="00F9786B" w:rsidRDefault="006B1055" w:rsidP="006B1055">
      <w:pPr>
        <w:jc w:val="both"/>
        <w:rPr>
          <w:rFonts w:ascii="Open Sans" w:hAnsi="Open Sans" w:cs="Open Sans"/>
          <w:b/>
          <w:lang w:val="es-ES_tradnl"/>
        </w:rPr>
      </w:pPr>
      <w:r w:rsidRPr="00F9786B">
        <w:rPr>
          <w:rFonts w:ascii="Open Sans" w:hAnsi="Open Sans" w:cs="Open Sans"/>
          <w:b/>
          <w:lang w:val="es-ES_tradnl"/>
        </w:rPr>
        <w:t>Artículo 10. LIQUIDACIÓN PROVISIONAL</w:t>
      </w:r>
      <w:r w:rsidRPr="00F9786B">
        <w:rPr>
          <w:rStyle w:val="Refdenotaalpie"/>
          <w:rFonts w:ascii="Open Sans" w:hAnsi="Open Sans" w:cs="Open Sans"/>
          <w:b/>
          <w:lang w:val="es-ES_tradnl"/>
        </w:rPr>
        <w:footnoteReference w:id="10"/>
      </w:r>
      <w:r w:rsidRPr="00F9786B">
        <w:rPr>
          <w:rFonts w:ascii="Open Sans" w:hAnsi="Open Sans" w:cs="Open Sans"/>
          <w:b/>
          <w:lang w:val="es-ES_tradnl"/>
        </w:rPr>
        <w:t>.</w:t>
      </w:r>
    </w:p>
    <w:p w:rsidR="006B1055" w:rsidRPr="00F9786B" w:rsidRDefault="006B1055" w:rsidP="006B1055">
      <w:pPr>
        <w:spacing w:after="0" w:line="240" w:lineRule="auto"/>
        <w:jc w:val="both"/>
        <w:rPr>
          <w:rFonts w:ascii="Open Sans" w:hAnsi="Open Sans" w:cs="Open Sans"/>
          <w:lang w:val="es-ES_tradnl"/>
        </w:rPr>
      </w:pPr>
      <w:r w:rsidRPr="00F9786B">
        <w:rPr>
          <w:rFonts w:ascii="Open Sans" w:hAnsi="Open Sans" w:cs="Open Sans"/>
          <w:lang w:val="es-ES_tradnl"/>
        </w:rPr>
        <w:t xml:space="preserve">1. Los sujetos pasivos están obligados a presentar declaración del impuesto, en el impreso habilitado, dentro del plazo máximo de 15 días contados a partir del momento que le sea notificada la concesión de la licencia municipal o se presente la declaración responsable o la comunicación previa o cuando, no habiéndose solicitado, concedido o denegado aún aquella o presentado éstas, se inicie la construcción, instalación u obra. En el supuesto de haber iniciado la construcción, instalación u obra, sin haber </w:t>
      </w:r>
      <w:r w:rsidRPr="00F9786B">
        <w:rPr>
          <w:rFonts w:ascii="Open Sans" w:hAnsi="Open Sans" w:cs="Open Sans"/>
          <w:lang w:val="es-ES_tradnl"/>
        </w:rPr>
        <w:lastRenderedPageBreak/>
        <w:t>solicitado, concedido o denegado la licencia, el plazo se contará desde el inicio de la misma.</w:t>
      </w:r>
    </w:p>
    <w:p w:rsidR="006B1055" w:rsidRPr="00F9786B" w:rsidRDefault="006B1055" w:rsidP="006B1055">
      <w:pPr>
        <w:spacing w:after="0" w:line="240" w:lineRule="auto"/>
        <w:jc w:val="both"/>
        <w:rPr>
          <w:rFonts w:ascii="Open Sans" w:hAnsi="Open Sans" w:cs="Open Sans"/>
          <w:lang w:val="es-ES_tradnl"/>
        </w:rPr>
      </w:pPr>
      <w:r w:rsidRPr="00F9786B">
        <w:rPr>
          <w:rFonts w:ascii="Open Sans" w:hAnsi="Open Sans" w:cs="Open Sans"/>
          <w:lang w:val="es-ES_tradnl"/>
        </w:rPr>
        <w:t>Junto al impreso habilitado, los sujetos pasivos deberán presentar el presupuesto de la construcción, instalación u obra, visado por el Colegio Oficial correspondiente siempre que sea preceptivo.</w:t>
      </w:r>
    </w:p>
    <w:p w:rsidR="006B1055" w:rsidRPr="00F9786B" w:rsidRDefault="006B1055" w:rsidP="006B1055">
      <w:pPr>
        <w:spacing w:after="0" w:line="240" w:lineRule="auto"/>
        <w:jc w:val="both"/>
        <w:rPr>
          <w:rFonts w:ascii="Open Sans" w:hAnsi="Open Sans" w:cs="Open Sans"/>
          <w:lang w:val="es-ES_tradnl"/>
        </w:rPr>
      </w:pPr>
    </w:p>
    <w:p w:rsidR="006B1055" w:rsidRPr="00F9786B" w:rsidRDefault="006B1055" w:rsidP="006B1055">
      <w:pPr>
        <w:jc w:val="both"/>
        <w:rPr>
          <w:rFonts w:ascii="Open Sans" w:hAnsi="Open Sans" w:cs="Open Sans"/>
          <w:lang w:val="es-ES_tradnl"/>
        </w:rPr>
      </w:pPr>
      <w:r w:rsidRPr="00F9786B">
        <w:rPr>
          <w:rFonts w:ascii="Open Sans" w:hAnsi="Open Sans" w:cs="Open Sans"/>
          <w:lang w:val="es-ES_tradnl"/>
        </w:rPr>
        <w:t>3. A la vista de la documentación presentada, el Ayuntamiento practicará la liquidación provisional que será notificada al sujeto pasivo o sustituto del contribuyente.</w:t>
      </w:r>
    </w:p>
    <w:p w:rsidR="006B1055" w:rsidRPr="00F9786B" w:rsidRDefault="006B1055" w:rsidP="006B1055">
      <w:pPr>
        <w:spacing w:after="0" w:line="240" w:lineRule="auto"/>
        <w:jc w:val="both"/>
        <w:rPr>
          <w:rFonts w:ascii="Open Sans" w:hAnsi="Open Sans" w:cs="Open Sans"/>
          <w:lang w:val="es-ES_tradnl"/>
        </w:rPr>
      </w:pPr>
      <w:r w:rsidRPr="00F9786B">
        <w:rPr>
          <w:rFonts w:ascii="Open Sans" w:hAnsi="Open Sans" w:cs="Open Sans"/>
          <w:lang w:val="es-ES_tradnl"/>
        </w:rPr>
        <w:t>4. En los supuestos de modificación del proyecto inicial, una vez aceptada la misma por el ayuntamiento, los sujetos pasivos deberán presentar la declaración correspondiente y nuevo presupuesto con sujeción a los plazos, requisitos y efectos señalados anteriormente.</w:t>
      </w:r>
    </w:p>
    <w:p w:rsidR="006B1055" w:rsidRPr="00F9786B" w:rsidRDefault="006B1055" w:rsidP="006B1055">
      <w:pPr>
        <w:spacing w:after="0" w:line="240" w:lineRule="auto"/>
        <w:jc w:val="both"/>
        <w:rPr>
          <w:rFonts w:ascii="Open Sans" w:hAnsi="Open Sans" w:cs="Open Sans"/>
          <w:lang w:val="es-ES_tradnl"/>
        </w:rPr>
      </w:pPr>
    </w:p>
    <w:p w:rsidR="006B1055" w:rsidRPr="00F9786B" w:rsidRDefault="006B1055" w:rsidP="006B1055">
      <w:pPr>
        <w:spacing w:after="0" w:line="240" w:lineRule="auto"/>
        <w:jc w:val="both"/>
        <w:rPr>
          <w:rFonts w:ascii="Open Sans" w:hAnsi="Open Sans" w:cs="Open Sans"/>
          <w:lang w:val="es-ES_tradnl"/>
        </w:rPr>
      </w:pPr>
      <w:r w:rsidRPr="00F9786B">
        <w:rPr>
          <w:rFonts w:ascii="Open Sans" w:hAnsi="Open Sans" w:cs="Open Sans"/>
          <w:lang w:val="es-ES_tradnl"/>
        </w:rPr>
        <w:t>5. El pago de la liquidación</w:t>
      </w:r>
      <w:r w:rsidRPr="00F9786B">
        <w:rPr>
          <w:rStyle w:val="Refdenotaalpie"/>
          <w:rFonts w:ascii="Open Sans" w:hAnsi="Open Sans" w:cs="Open Sans"/>
          <w:lang w:val="es-ES_tradnl"/>
        </w:rPr>
        <w:footnoteReference w:id="11"/>
      </w:r>
      <w:r w:rsidRPr="00F9786B">
        <w:rPr>
          <w:rFonts w:ascii="Open Sans" w:hAnsi="Open Sans" w:cs="Open Sans"/>
          <w:lang w:val="es-ES_tradnl"/>
        </w:rPr>
        <w:t xml:space="preserve"> tendrá carácter provisional, será en la liquidación definitiva que se practique una vez finalizadas las construcciones, instalaciones y obras, donde se determine la base imponible definitiva en función del presupuesto final. </w:t>
      </w:r>
    </w:p>
    <w:p w:rsidR="006B1055" w:rsidRPr="00F9786B" w:rsidRDefault="006B1055" w:rsidP="006B1055">
      <w:pPr>
        <w:jc w:val="both"/>
        <w:rPr>
          <w:rFonts w:ascii="Open Sans" w:hAnsi="Open Sans" w:cs="Open Sans"/>
          <w:lang w:val="es-ES_tradnl"/>
        </w:rPr>
      </w:pPr>
    </w:p>
    <w:p w:rsidR="006B1055" w:rsidRPr="00F9786B" w:rsidRDefault="006B1055" w:rsidP="006B1055">
      <w:pPr>
        <w:jc w:val="both"/>
        <w:rPr>
          <w:rFonts w:ascii="Open Sans" w:hAnsi="Open Sans" w:cs="Open Sans"/>
          <w:lang w:val="es-ES_tradnl"/>
        </w:rPr>
      </w:pPr>
      <w:r w:rsidRPr="00F9786B">
        <w:rPr>
          <w:rFonts w:ascii="Open Sans" w:hAnsi="Open Sans" w:cs="Open Sans"/>
          <w:b/>
          <w:lang w:val="es-ES_tradnl"/>
        </w:rPr>
        <w:t>Artículo 11. LIQUIDACIÓN DEFINITIVA</w:t>
      </w:r>
    </w:p>
    <w:p w:rsidR="006B1055" w:rsidRPr="00F9786B" w:rsidRDefault="006B1055" w:rsidP="006B1055">
      <w:pPr>
        <w:jc w:val="both"/>
        <w:rPr>
          <w:rFonts w:ascii="Open Sans" w:hAnsi="Open Sans" w:cs="Open Sans"/>
          <w:lang w:val="es-ES_tradnl"/>
        </w:rPr>
      </w:pPr>
      <w:r w:rsidRPr="00F9786B">
        <w:rPr>
          <w:rFonts w:ascii="Open Sans" w:hAnsi="Open Sans" w:cs="Open Sans"/>
          <w:lang w:val="es-ES_tradnl"/>
        </w:rPr>
        <w:t xml:space="preserve">1. Una vez finalizadas las construcciones, instalaciones u obras, en el plazo de 15 días, contados a partir del día siguiente a su terminación, los sujetos pasivos deberán presentar ante el órgano gestor del impuesto, declaración del coste real y efectivo de aquellas, acompañando del presupuesto final y demás documentos que considere oportuno a los efectos de acreditar el expresado coste. </w:t>
      </w:r>
    </w:p>
    <w:p w:rsidR="006B1055" w:rsidRPr="00F9786B" w:rsidRDefault="006B1055" w:rsidP="006B1055">
      <w:pPr>
        <w:jc w:val="both"/>
        <w:rPr>
          <w:rFonts w:ascii="Open Sans" w:hAnsi="Open Sans" w:cs="Open Sans"/>
          <w:lang w:val="es-ES_tradnl"/>
        </w:rPr>
      </w:pPr>
      <w:r w:rsidRPr="00F9786B">
        <w:rPr>
          <w:rFonts w:ascii="Open Sans" w:hAnsi="Open Sans" w:cs="Open Sans"/>
          <w:lang w:val="es-ES_tradnl"/>
        </w:rPr>
        <w:t>A tales efectos, la fecha de finalización de las construcciones, instalaciones y obras será la que se determine por cualquier medio de prueba admisible en derecho y, en particular, la que resulte según lo dispuesto en la normativa urbanística.</w:t>
      </w:r>
    </w:p>
    <w:p w:rsidR="006B1055" w:rsidRPr="00F9786B" w:rsidRDefault="006B1055" w:rsidP="006B1055">
      <w:pPr>
        <w:jc w:val="both"/>
        <w:rPr>
          <w:rFonts w:ascii="Open Sans" w:hAnsi="Open Sans" w:cs="Open Sans"/>
          <w:lang w:val="es-ES_tradnl"/>
        </w:rPr>
      </w:pPr>
      <w:r w:rsidRPr="00F9786B">
        <w:rPr>
          <w:rFonts w:ascii="Open Sans" w:hAnsi="Open Sans" w:cs="Open Sans"/>
          <w:lang w:val="es-ES_tradnl"/>
        </w:rPr>
        <w:t>2. Cuando dicho coste real y efectivo sea superior o inferior al que sirvió de base imponible a la liquidación provisional, el órgano gestor practicará liquidación definitiva, por la diferencia, positiva o negativa, que se ponga de manifiesto, y que será notificada al interesado.</w:t>
      </w:r>
    </w:p>
    <w:p w:rsidR="006B1055" w:rsidRPr="00F9786B" w:rsidRDefault="006B1055" w:rsidP="006B1055">
      <w:pPr>
        <w:jc w:val="both"/>
        <w:rPr>
          <w:rFonts w:ascii="Open Sans" w:hAnsi="Open Sans" w:cs="Open Sans"/>
          <w:lang w:val="es-ES_tradnl"/>
        </w:rPr>
      </w:pPr>
      <w:r w:rsidRPr="00F9786B">
        <w:rPr>
          <w:rFonts w:ascii="Open Sans" w:hAnsi="Open Sans" w:cs="Open Sans"/>
          <w:lang w:val="es-ES_tradnl"/>
        </w:rPr>
        <w:t>3. Si como resultado de la liquidación definitiva la diferencia es positiva, ésta será ingresada, por el sujeto pasivo, a través de los medios y plazos de pago que se indiquen en la correspondiente liquidación. Y si la diferencia es negativa, la cantidad será reintegrada de oficio por el órgano gestor en la cuenta bancaria que el interesado designe al efecto.</w:t>
      </w:r>
    </w:p>
    <w:p w:rsidR="006B1055" w:rsidRPr="00F9786B" w:rsidRDefault="006B1055" w:rsidP="006B1055">
      <w:pPr>
        <w:spacing w:after="0"/>
        <w:jc w:val="both"/>
        <w:rPr>
          <w:rFonts w:ascii="Open Sans" w:hAnsi="Open Sans" w:cs="Open Sans"/>
          <w:b/>
          <w:bCs/>
          <w:lang w:val="es-ES_tradnl"/>
        </w:rPr>
      </w:pPr>
      <w:r w:rsidRPr="00F9786B">
        <w:rPr>
          <w:rFonts w:ascii="Open Sans" w:hAnsi="Open Sans" w:cs="Open Sans"/>
          <w:b/>
          <w:bCs/>
          <w:lang w:val="es-ES_tradnl"/>
        </w:rPr>
        <w:t>Artículo 12.</w:t>
      </w:r>
      <w:r w:rsidRPr="00F9786B">
        <w:rPr>
          <w:rFonts w:ascii="Open Sans" w:hAnsi="Open Sans" w:cs="Open Sans"/>
          <w:b/>
          <w:bCs/>
          <w:lang w:val="es-ES_tradnl"/>
        </w:rPr>
        <w:tab/>
        <w:t>GESTIÓN.</w:t>
      </w:r>
    </w:p>
    <w:p w:rsidR="006B1055" w:rsidRDefault="006B1055" w:rsidP="006B1055">
      <w:pPr>
        <w:spacing w:after="0"/>
        <w:jc w:val="both"/>
        <w:rPr>
          <w:rFonts w:ascii="Open Sans" w:eastAsiaTheme="minorEastAsia" w:hAnsi="Open Sans" w:cs="Open Sans"/>
          <w:color w:val="000000"/>
          <w:lang w:eastAsia="es-ES"/>
        </w:rPr>
      </w:pPr>
      <w:r>
        <w:rPr>
          <w:rFonts w:ascii="Open Sans" w:eastAsiaTheme="minorEastAsia" w:hAnsi="Open Sans" w:cs="Open Sans"/>
          <w:color w:val="000000"/>
          <w:lang w:eastAsia="es-ES"/>
        </w:rPr>
        <w:t>1</w:t>
      </w:r>
      <w:r w:rsidRPr="00E649A9">
        <w:rPr>
          <w:rFonts w:ascii="Open Sans" w:eastAsiaTheme="minorEastAsia" w:hAnsi="Open Sans" w:cs="Open Sans"/>
          <w:color w:val="000000"/>
          <w:lang w:eastAsia="es-ES"/>
        </w:rPr>
        <w:t xml:space="preserve">. La gestión, liquidación, recaudación e inspección del impuesto se llevará a cabo por el </w:t>
      </w:r>
      <w:r>
        <w:rPr>
          <w:rFonts w:ascii="Open Sans" w:eastAsiaTheme="minorEastAsia" w:hAnsi="Open Sans" w:cs="Open Sans"/>
          <w:color w:val="000000"/>
          <w:lang w:eastAsia="es-ES"/>
        </w:rPr>
        <w:t xml:space="preserve">Organismo Autónomo de Recaudación de la Diputación de Badajoz, en virtud del </w:t>
      </w:r>
      <w:r w:rsidRPr="00E649A9">
        <w:rPr>
          <w:rFonts w:ascii="Open Sans" w:eastAsiaTheme="minorEastAsia" w:hAnsi="Open Sans" w:cs="Open Sans"/>
          <w:color w:val="000000"/>
          <w:lang w:eastAsia="es-ES"/>
        </w:rPr>
        <w:t xml:space="preserve">acuerdo de delegación de competencias </w:t>
      </w:r>
      <w:r>
        <w:rPr>
          <w:rFonts w:ascii="Open Sans" w:eastAsiaTheme="minorEastAsia" w:hAnsi="Open Sans" w:cs="Open Sans"/>
          <w:color w:val="000000"/>
          <w:lang w:eastAsia="es-ES"/>
        </w:rPr>
        <w:t xml:space="preserve">publicado en el BOP de fecha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 xml:space="preserve"> de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 xml:space="preserve"> de </w:t>
      </w:r>
      <w:r w:rsidRPr="00E649A9">
        <w:rPr>
          <w:rFonts w:ascii="Open Sans" w:eastAsia="Times New Roman" w:hAnsi="Open Sans" w:cs="Open Sans"/>
          <w:highlight w:val="red"/>
          <w:lang w:eastAsia="es-ES"/>
        </w:rPr>
        <w:t>...</w:t>
      </w:r>
      <w:r w:rsidRPr="00E649A9">
        <w:rPr>
          <w:rFonts w:ascii="Open Sans" w:eastAsia="Times New Roman" w:hAnsi="Open Sans" w:cs="Open Sans"/>
          <w:lang w:eastAsia="es-ES"/>
        </w:rPr>
        <w:t>,</w:t>
      </w:r>
      <w:r w:rsidRPr="00E649A9">
        <w:rPr>
          <w:rFonts w:ascii="Open Sans" w:eastAsia="Times New Roman" w:hAnsi="Open Sans" w:cs="Open Sans"/>
          <w:vertAlign w:val="superscript"/>
          <w:lang w:eastAsia="es-ES"/>
        </w:rPr>
        <w:footnoteReference w:id="12"/>
      </w:r>
      <w:r w:rsidRPr="00E649A9">
        <w:rPr>
          <w:rFonts w:ascii="Open Sans" w:eastAsia="Times New Roman" w:hAnsi="Open Sans" w:cs="Open Sans"/>
          <w:lang w:eastAsia="es-ES"/>
        </w:rPr>
        <w:t xml:space="preserve"> </w:t>
      </w:r>
      <w:r w:rsidRPr="00E649A9">
        <w:rPr>
          <w:rFonts w:ascii="Open Sans" w:eastAsiaTheme="minorEastAsia" w:hAnsi="Open Sans" w:cs="Open Sans"/>
          <w:color w:val="000000"/>
          <w:lang w:eastAsia="es-ES"/>
        </w:rPr>
        <w:t xml:space="preserve">conforme a lo establecido los artículos 106.3 de la Ley 7/1985, de 2 de abril, </w:t>
      </w:r>
      <w:r w:rsidRPr="00E649A9">
        <w:rPr>
          <w:rFonts w:ascii="Open Sans" w:eastAsiaTheme="minorEastAsia" w:hAnsi="Open Sans" w:cs="Open Sans"/>
          <w:color w:val="000000"/>
          <w:lang w:eastAsia="es-ES"/>
        </w:rPr>
        <w:lastRenderedPageBreak/>
        <w:t>Reguladora de las Bases del Régimen Local y en los artículos 7</w:t>
      </w:r>
      <w:r>
        <w:rPr>
          <w:rFonts w:ascii="Open Sans" w:eastAsiaTheme="minorEastAsia" w:hAnsi="Open Sans" w:cs="Open Sans"/>
          <w:color w:val="000000"/>
          <w:lang w:eastAsia="es-ES"/>
        </w:rPr>
        <w:t>.1 y</w:t>
      </w:r>
      <w:r w:rsidRPr="00E649A9">
        <w:rPr>
          <w:rFonts w:ascii="Open Sans" w:eastAsiaTheme="minorEastAsia" w:hAnsi="Open Sans" w:cs="Open Sans"/>
          <w:color w:val="000000"/>
          <w:lang w:eastAsia="es-ES"/>
        </w:rPr>
        <w:t xml:space="preserve"> 8</w:t>
      </w:r>
      <w:r>
        <w:rPr>
          <w:rFonts w:ascii="Open Sans" w:eastAsiaTheme="minorEastAsia" w:hAnsi="Open Sans" w:cs="Open Sans"/>
          <w:color w:val="000000"/>
          <w:lang w:eastAsia="es-ES"/>
        </w:rPr>
        <w:t>.4</w:t>
      </w:r>
      <w:r w:rsidRPr="00E649A9">
        <w:rPr>
          <w:rFonts w:ascii="Open Sans" w:eastAsiaTheme="minorEastAsia" w:hAnsi="Open Sans" w:cs="Open Sans"/>
          <w:color w:val="000000"/>
          <w:lang w:eastAsia="es-ES"/>
        </w:rPr>
        <w:t xml:space="preserve"> del Real Decreto Legislativo 2/2004, de 5 de marzo, por el que se aprueba el texto refundido de la Ley Reguladora de las Haciendas Locales.</w:t>
      </w:r>
    </w:p>
    <w:p w:rsidR="006B1055" w:rsidRPr="00E649A9" w:rsidRDefault="006B1055" w:rsidP="006B1055">
      <w:pPr>
        <w:spacing w:after="0"/>
        <w:jc w:val="both"/>
        <w:rPr>
          <w:rFonts w:ascii="Open Sans" w:eastAsiaTheme="minorEastAsia" w:hAnsi="Open Sans" w:cs="Open Sans"/>
          <w:color w:val="000000"/>
          <w:lang w:eastAsia="es-ES"/>
        </w:rPr>
      </w:pPr>
    </w:p>
    <w:p w:rsidR="006B1055" w:rsidRPr="00F9786B" w:rsidRDefault="006B1055" w:rsidP="006B1055">
      <w:pPr>
        <w:tabs>
          <w:tab w:val="left" w:pos="630"/>
          <w:tab w:val="left" w:pos="990"/>
        </w:tabs>
        <w:jc w:val="both"/>
        <w:rPr>
          <w:rFonts w:ascii="Open Sans" w:hAnsi="Open Sans" w:cs="Open Sans"/>
          <w:lang w:val="es-ES_tradnl"/>
        </w:rPr>
      </w:pPr>
      <w:r w:rsidRPr="00F9786B">
        <w:rPr>
          <w:rFonts w:ascii="Open Sans" w:hAnsi="Open Sans" w:cs="Open Sans"/>
          <w:lang w:val="es-ES_tradnl"/>
        </w:rPr>
        <w:t xml:space="preserve">2. La gestión, liquidación, recaudación e inspección del Impuesto se llevará a cabo conforme a lo preceptuado en los artículos 10, 11, 12, 13 y 103 </w:t>
      </w:r>
      <w:r w:rsidRPr="00F9786B">
        <w:rPr>
          <w:rFonts w:ascii="Open Sans" w:hAnsi="Open Sans" w:cs="Open Sans"/>
          <w:bCs/>
          <w:lang w:val="es-ES_tradnl"/>
        </w:rPr>
        <w:t xml:space="preserve">del Real Decreto Legislativo </w:t>
      </w:r>
      <w:r w:rsidRPr="00F9786B">
        <w:rPr>
          <w:rFonts w:ascii="Open Sans" w:hAnsi="Open Sans" w:cs="Open Sans"/>
          <w:lang w:val="es-ES_tradnl"/>
        </w:rPr>
        <w:t>2/2004, de 5 de marzo del texto refundido de la Ley Reguladora de las Haciendas Locales; Ley 58/2003, de 17 de diciembre, General Tributaria y en las demás normas que resulten de aplicación.</w:t>
      </w:r>
    </w:p>
    <w:p w:rsidR="006B1055" w:rsidRPr="00F9786B" w:rsidRDefault="006B1055" w:rsidP="006B1055">
      <w:pPr>
        <w:spacing w:after="0"/>
        <w:jc w:val="both"/>
        <w:rPr>
          <w:rFonts w:ascii="Open Sans" w:eastAsiaTheme="minorEastAsia" w:hAnsi="Open Sans" w:cs="Open Sans"/>
          <w:b/>
          <w:color w:val="000000"/>
          <w:lang w:eastAsia="es-ES"/>
        </w:rPr>
      </w:pPr>
      <w:r w:rsidRPr="00F9786B">
        <w:rPr>
          <w:rFonts w:ascii="Open Sans" w:eastAsiaTheme="minorEastAsia" w:hAnsi="Open Sans" w:cs="Open Sans"/>
          <w:b/>
          <w:color w:val="000000"/>
          <w:lang w:eastAsia="es-ES"/>
        </w:rPr>
        <w:t>Artículo 13. REVISIÓN DE LOS ACTOS ADMINISTRATIVOS.</w:t>
      </w:r>
    </w:p>
    <w:p w:rsidR="006B1055" w:rsidRPr="00F9786B" w:rsidRDefault="006B1055" w:rsidP="006B1055">
      <w:pPr>
        <w:spacing w:after="0"/>
        <w:jc w:val="both"/>
        <w:rPr>
          <w:rFonts w:ascii="Open Sans" w:eastAsiaTheme="minorEastAsia" w:hAnsi="Open Sans" w:cs="Open Sans"/>
          <w:color w:val="000000"/>
          <w:lang w:eastAsia="es-ES"/>
        </w:rPr>
      </w:pPr>
      <w:r w:rsidRPr="00F9786B">
        <w:rPr>
          <w:rFonts w:ascii="Open Sans" w:eastAsiaTheme="minorEastAsia" w:hAnsi="Open Sans" w:cs="Open Sans"/>
          <w:color w:val="000000"/>
          <w:lang w:eastAsia="es-ES"/>
        </w:rPr>
        <w:t>Los actos de gestión, liquidación, recaudación e inspección del impuesto serán revisables conforme al procedimiento aplicable a la entidad que los dicte. En particular, cuando dichos actos sean dictados por una entidad local, los mismos se revisarán conforme a lo preceptuado en el artículo 14 del Real Decreto Legislativo 2/2004, de 5 de marzo del Texto Refundido de la Ley Reguladora de las Haciendas Locales.</w:t>
      </w:r>
    </w:p>
    <w:p w:rsidR="006B1055" w:rsidRPr="00F9786B" w:rsidRDefault="006B1055" w:rsidP="006B1055">
      <w:pPr>
        <w:spacing w:after="0"/>
        <w:jc w:val="both"/>
        <w:rPr>
          <w:rFonts w:ascii="Open Sans" w:eastAsiaTheme="minorEastAsia" w:hAnsi="Open Sans" w:cs="Open Sans"/>
          <w:color w:val="000000"/>
          <w:lang w:eastAsia="es-ES"/>
        </w:rPr>
      </w:pPr>
    </w:p>
    <w:p w:rsidR="006B1055" w:rsidRPr="00F9786B" w:rsidRDefault="006B1055" w:rsidP="006B1055">
      <w:pPr>
        <w:spacing w:after="0"/>
        <w:jc w:val="both"/>
        <w:rPr>
          <w:rFonts w:ascii="Open Sans" w:eastAsiaTheme="minorEastAsia" w:hAnsi="Open Sans" w:cs="Open Sans"/>
          <w:b/>
          <w:color w:val="000000" w:themeColor="text1"/>
          <w:lang w:eastAsia="es-ES"/>
        </w:rPr>
      </w:pPr>
      <w:r w:rsidRPr="00F9786B">
        <w:rPr>
          <w:rFonts w:ascii="Open Sans" w:eastAsiaTheme="minorEastAsia" w:hAnsi="Open Sans" w:cs="Open Sans"/>
          <w:b/>
          <w:color w:val="000000" w:themeColor="text1"/>
          <w:lang w:eastAsia="es-ES"/>
        </w:rPr>
        <w:t>Artículo 14. INFRACCIONES Y SANCIONES TRIBUTARIAS.</w:t>
      </w:r>
    </w:p>
    <w:p w:rsidR="006B1055" w:rsidRPr="00F9786B" w:rsidRDefault="006B1055" w:rsidP="006B1055">
      <w:pPr>
        <w:spacing w:after="0"/>
        <w:jc w:val="both"/>
        <w:rPr>
          <w:rFonts w:ascii="Open Sans" w:eastAsiaTheme="minorEastAsia" w:hAnsi="Open Sans" w:cs="Open Sans"/>
          <w:color w:val="000000" w:themeColor="text1"/>
          <w:lang w:eastAsia="es-ES"/>
        </w:rPr>
      </w:pPr>
      <w:r w:rsidRPr="00F9786B">
        <w:rPr>
          <w:rFonts w:ascii="Open Sans" w:eastAsiaTheme="minorEastAsia" w:hAnsi="Open Sans" w:cs="Open Sans"/>
          <w:color w:val="000000" w:themeColor="text1"/>
          <w:lang w:eastAsia="es-ES"/>
        </w:rPr>
        <w:t>En todo lo relativo a infracciones tributarias y sus distintas calificaciones, así como a las sanciones que a las mismas correspondan en cada caso, se aplicará lo dispuesto en la Ley General Tributaria y en la Ordenanza Fiscal General de gestión, liquidación, inspección y recaudación de los ingresos de derecho público de la Diputación Provincial de Badajoz.</w:t>
      </w:r>
    </w:p>
    <w:p w:rsidR="006B1055" w:rsidRPr="00F9786B" w:rsidRDefault="006B1055" w:rsidP="006B1055">
      <w:pPr>
        <w:tabs>
          <w:tab w:val="left" w:pos="630"/>
          <w:tab w:val="left" w:pos="990"/>
        </w:tabs>
        <w:spacing w:before="240" w:after="0"/>
        <w:jc w:val="both"/>
        <w:rPr>
          <w:rFonts w:ascii="Open Sans" w:hAnsi="Open Sans" w:cs="Open Sans"/>
          <w:b/>
          <w:bCs/>
          <w:lang w:val="es-ES_tradnl"/>
        </w:rPr>
      </w:pPr>
      <w:r w:rsidRPr="00F9786B">
        <w:rPr>
          <w:rFonts w:ascii="Open Sans" w:hAnsi="Open Sans" w:cs="Open Sans"/>
          <w:b/>
          <w:bCs/>
          <w:lang w:val="es-ES_tradnl"/>
        </w:rPr>
        <w:t>DISPOSICIÓN ADICIONAL ÚNICA.  MODIFICACIONES DEL IMPUESTO.</w:t>
      </w:r>
    </w:p>
    <w:p w:rsidR="006B1055" w:rsidRPr="00F9786B" w:rsidRDefault="006B1055" w:rsidP="006B1055">
      <w:pPr>
        <w:tabs>
          <w:tab w:val="left" w:pos="630"/>
          <w:tab w:val="left" w:pos="990"/>
        </w:tabs>
        <w:spacing w:after="0"/>
        <w:jc w:val="both"/>
        <w:rPr>
          <w:rFonts w:ascii="Open Sans" w:hAnsi="Open Sans" w:cs="Open Sans"/>
          <w:lang w:val="es-ES_tradnl"/>
        </w:rPr>
      </w:pPr>
      <w:r w:rsidRPr="00F9786B">
        <w:rPr>
          <w:rFonts w:ascii="Open Sans" w:hAnsi="Open Sans" w:cs="Open Sans"/>
          <w:lang w:val="es-ES_tradnl"/>
        </w:rPr>
        <w:t>Las modificaciones que se introduzcan en la regulación del Impuesto, por las Leyes de Presupuestos Generales del Estado o por cualesquiera otras leyes o disposiciones, y que resulten de aplicación directa, producirán, en su caso, la correspondiente modificación tácita de la presente Ordenanza fiscal.</w:t>
      </w:r>
    </w:p>
    <w:p w:rsidR="006B1055" w:rsidRPr="00F9786B" w:rsidRDefault="006B1055" w:rsidP="006B1055">
      <w:pPr>
        <w:tabs>
          <w:tab w:val="left" w:pos="630"/>
          <w:tab w:val="left" w:pos="990"/>
        </w:tabs>
        <w:spacing w:before="240" w:after="0"/>
        <w:jc w:val="both"/>
        <w:rPr>
          <w:rFonts w:ascii="Open Sans" w:hAnsi="Open Sans" w:cs="Open Sans"/>
          <w:b/>
          <w:bCs/>
          <w:lang w:val="es-ES_tradnl"/>
        </w:rPr>
      </w:pPr>
      <w:r w:rsidRPr="00F9786B">
        <w:rPr>
          <w:rFonts w:ascii="Open Sans" w:hAnsi="Open Sans" w:cs="Open Sans"/>
          <w:b/>
          <w:bCs/>
          <w:lang w:val="es-ES_tradnl"/>
        </w:rPr>
        <w:t>DISPOSICIÓN FINAL ÚNICA.  APROBACIÓN, ENTRADA EN VIGOR Y MODIFICACIÓN DE LA ORDENANZA FISCAL.</w:t>
      </w:r>
    </w:p>
    <w:p w:rsidR="006B1055" w:rsidRPr="00F9786B" w:rsidRDefault="006B1055" w:rsidP="006B1055">
      <w:pPr>
        <w:tabs>
          <w:tab w:val="left" w:pos="0"/>
          <w:tab w:val="left" w:pos="540"/>
          <w:tab w:val="left" w:pos="720"/>
        </w:tabs>
        <w:spacing w:after="0"/>
        <w:jc w:val="both"/>
        <w:rPr>
          <w:rFonts w:ascii="Open Sans" w:eastAsia="Times New Roman" w:hAnsi="Open Sans" w:cs="Open Sans"/>
          <w:lang w:eastAsia="es-ES"/>
        </w:rPr>
      </w:pPr>
      <w:r w:rsidRPr="00F9786B">
        <w:rPr>
          <w:rFonts w:ascii="Open Sans" w:eastAsia="Times New Roman" w:hAnsi="Open Sans" w:cs="Open Sans"/>
          <w:lang w:eastAsia="es-ES"/>
        </w:rPr>
        <w:t xml:space="preserve">La presente Ordenanza fiscal, aprobada por el Pleno de este Ayuntamiento en sesión celebrada </w:t>
      </w:r>
      <w:proofErr w:type="gramStart"/>
      <w:r w:rsidRPr="00F9786B">
        <w:rPr>
          <w:rFonts w:ascii="Open Sans" w:eastAsia="Times New Roman" w:hAnsi="Open Sans" w:cs="Open Sans"/>
          <w:lang w:eastAsia="es-ES"/>
        </w:rPr>
        <w:t xml:space="preserve">el </w:t>
      </w:r>
      <w:r w:rsidRPr="00F9786B">
        <w:rPr>
          <w:rFonts w:ascii="Open Sans" w:eastAsia="Times New Roman" w:hAnsi="Open Sans" w:cs="Open Sans"/>
          <w:highlight w:val="red"/>
          <w:lang w:eastAsia="es-ES"/>
        </w:rPr>
        <w:t>...</w:t>
      </w:r>
      <w:proofErr w:type="gramEnd"/>
      <w:r w:rsidRPr="00F9786B">
        <w:rPr>
          <w:rFonts w:ascii="Open Sans" w:eastAsia="Times New Roman" w:hAnsi="Open Sans" w:cs="Open Sans"/>
          <w:lang w:eastAsia="es-ES"/>
        </w:rPr>
        <w:t xml:space="preserve"> de </w:t>
      </w:r>
      <w:r w:rsidRPr="00F9786B">
        <w:rPr>
          <w:rFonts w:ascii="Open Sans" w:eastAsia="Times New Roman" w:hAnsi="Open Sans" w:cs="Open Sans"/>
          <w:highlight w:val="red"/>
          <w:lang w:eastAsia="es-ES"/>
        </w:rPr>
        <w:t>...</w:t>
      </w:r>
      <w:r w:rsidRPr="00F9786B">
        <w:rPr>
          <w:rFonts w:ascii="Open Sans" w:eastAsia="Times New Roman" w:hAnsi="Open Sans" w:cs="Open Sans"/>
          <w:lang w:eastAsia="es-ES"/>
        </w:rPr>
        <w:t xml:space="preserve"> de </w:t>
      </w:r>
      <w:r w:rsidRPr="00F9786B">
        <w:rPr>
          <w:rFonts w:ascii="Open Sans" w:eastAsia="Times New Roman" w:hAnsi="Open Sans" w:cs="Open Sans"/>
          <w:highlight w:val="red"/>
          <w:lang w:eastAsia="es-ES"/>
        </w:rPr>
        <w:t>...</w:t>
      </w:r>
      <w:r w:rsidRPr="00F9786B">
        <w:rPr>
          <w:rFonts w:ascii="Open Sans" w:eastAsia="Times New Roman" w:hAnsi="Open Sans" w:cs="Open Sans"/>
          <w:vertAlign w:val="superscript"/>
          <w:lang w:eastAsia="es-ES"/>
        </w:rPr>
        <w:footnoteReference w:id="13"/>
      </w:r>
      <w:r w:rsidRPr="00F9786B">
        <w:rPr>
          <w:rFonts w:ascii="Open Sans" w:eastAsia="Times New Roman" w:hAnsi="Open Sans" w:cs="Open Sans"/>
          <w:lang w:eastAsia="es-ES"/>
        </w:rPr>
        <w:t xml:space="preserve">, comenzará a regir con efectos desde el </w:t>
      </w:r>
      <w:r w:rsidRPr="00F9786B">
        <w:rPr>
          <w:rFonts w:ascii="Open Sans" w:eastAsia="Times New Roman" w:hAnsi="Open Sans" w:cs="Open Sans"/>
          <w:highlight w:val="red"/>
          <w:lang w:eastAsia="es-ES"/>
        </w:rPr>
        <w:t>…</w:t>
      </w:r>
      <w:r w:rsidRPr="00F9786B">
        <w:rPr>
          <w:rFonts w:ascii="Open Sans" w:eastAsia="Times New Roman" w:hAnsi="Open Sans" w:cs="Open Sans"/>
          <w:lang w:eastAsia="es-ES"/>
        </w:rPr>
        <w:t xml:space="preserve"> de </w:t>
      </w:r>
      <w:r w:rsidRPr="00F9786B">
        <w:rPr>
          <w:rFonts w:ascii="Open Sans" w:eastAsia="Times New Roman" w:hAnsi="Open Sans" w:cs="Open Sans"/>
          <w:highlight w:val="red"/>
          <w:lang w:eastAsia="es-ES"/>
        </w:rPr>
        <w:t>...</w:t>
      </w:r>
      <w:r w:rsidRPr="00F9786B">
        <w:rPr>
          <w:rFonts w:ascii="Open Sans" w:eastAsia="Times New Roman" w:hAnsi="Open Sans" w:cs="Open Sans"/>
          <w:lang w:eastAsia="es-ES"/>
        </w:rPr>
        <w:t xml:space="preserve"> de </w:t>
      </w:r>
      <w:r w:rsidRPr="00F9786B">
        <w:rPr>
          <w:rFonts w:ascii="Open Sans" w:eastAsia="Times New Roman" w:hAnsi="Open Sans" w:cs="Open Sans"/>
          <w:highlight w:val="red"/>
          <w:lang w:eastAsia="es-ES"/>
        </w:rPr>
        <w:t>...</w:t>
      </w:r>
      <w:r w:rsidRPr="00F9786B">
        <w:rPr>
          <w:rFonts w:ascii="Open Sans" w:eastAsia="Times New Roman" w:hAnsi="Open Sans" w:cs="Open Sans"/>
          <w:vertAlign w:val="superscript"/>
          <w:lang w:eastAsia="es-ES"/>
        </w:rPr>
        <w:footnoteReference w:id="14"/>
      </w:r>
      <w:r w:rsidRPr="00F9786B">
        <w:rPr>
          <w:rFonts w:ascii="Open Sans" w:eastAsia="Times New Roman" w:hAnsi="Open Sans" w:cs="Open Sans"/>
          <w:lang w:eastAsia="es-ES"/>
        </w:rPr>
        <w:t>, y continuará vigente en tanto no se acuerde su modificación o derogación.  En caso de modificación parcial de esta Ordenanza fiscal, los artículos no modificados continuarán vigentes.</w:t>
      </w:r>
      <w:r>
        <w:rPr>
          <w:rStyle w:val="Refdenotaalpie"/>
          <w:rFonts w:ascii="Open Sans" w:eastAsia="Times New Roman" w:hAnsi="Open Sans" w:cs="Open Sans"/>
          <w:lang w:eastAsia="es-ES"/>
        </w:rPr>
        <w:footnoteReference w:id="15"/>
      </w:r>
    </w:p>
    <w:p w:rsidR="00C67F51" w:rsidRPr="006B1055" w:rsidRDefault="00C67F51" w:rsidP="006B1055"/>
    <w:sectPr w:rsidR="00C67F51" w:rsidRPr="006B1055" w:rsidSect="00F25CFB">
      <w:headerReference w:type="default" r:id="rId9"/>
      <w:footerReference w:type="default" r:id="rId10"/>
      <w:pgSz w:w="11906" w:h="16838"/>
      <w:pgMar w:top="1985" w:right="1701" w:bottom="1417" w:left="1701" w:header="708" w:footer="15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693" w:rsidRDefault="00233693" w:rsidP="00B364C2">
      <w:pPr>
        <w:spacing w:after="0" w:line="240" w:lineRule="auto"/>
      </w:pPr>
      <w:r>
        <w:separator/>
      </w:r>
    </w:p>
  </w:endnote>
  <w:endnote w:type="continuationSeparator" w:id="0">
    <w:p w:rsidR="00233693" w:rsidRDefault="00233693" w:rsidP="00B364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Open Sans">
    <w:altName w:val="Arial"/>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29rjnhxjjskdbzv">
    <w:altName w:val="2 9rjnhxjjskdbzv"/>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88351"/>
      <w:docPartObj>
        <w:docPartGallery w:val="Page Numbers (Bottom of Page)"/>
        <w:docPartUnique/>
      </w:docPartObj>
    </w:sdtPr>
    <w:sdtEndPr/>
    <w:sdtContent>
      <w:p w:rsidR="00F25CFB" w:rsidRDefault="00F25CFB" w:rsidP="00F25CFB">
        <w:pPr>
          <w:pStyle w:val="Piedepgina"/>
          <w:tabs>
            <w:tab w:val="clear" w:pos="4252"/>
            <w:tab w:val="clear" w:pos="8504"/>
            <w:tab w:val="left" w:pos="4739"/>
          </w:tabs>
          <w:jc w:val="center"/>
          <w:rPr>
            <w:rFonts w:ascii="Open Sans" w:hAnsi="Open Sans" w:cs="Open Sans"/>
            <w:sz w:val="20"/>
          </w:rPr>
        </w:pPr>
        <w:r w:rsidRPr="00C430F8">
          <w:rPr>
            <w:rFonts w:ascii="Open Sans" w:hAnsi="Open Sans" w:cs="Open Sans"/>
            <w:noProof/>
            <w:sz w:val="20"/>
            <w:lang w:eastAsia="es-ES"/>
          </w:rPr>
          <mc:AlternateContent>
            <mc:Choice Requires="wps">
              <w:drawing>
                <wp:anchor distT="0" distB="0" distL="114300" distR="114300" simplePos="0" relativeHeight="251660288" behindDoc="0" locked="0" layoutInCell="1" allowOverlap="1" wp14:anchorId="71AF8D2B" wp14:editId="76C7ACC5">
                  <wp:simplePos x="0" y="0"/>
                  <wp:positionH relativeFrom="column">
                    <wp:posOffset>4386</wp:posOffset>
                  </wp:positionH>
                  <wp:positionV relativeFrom="paragraph">
                    <wp:posOffset>-85858</wp:posOffset>
                  </wp:positionV>
                  <wp:extent cx="5379617" cy="0"/>
                  <wp:effectExtent l="0" t="0" r="12065" b="19050"/>
                  <wp:wrapNone/>
                  <wp:docPr id="2" name="2 Conector recto"/>
                  <wp:cNvGraphicFramePr/>
                  <a:graphic xmlns:a="http://schemas.openxmlformats.org/drawingml/2006/main">
                    <a:graphicData uri="http://schemas.microsoft.com/office/word/2010/wordprocessingShape">
                      <wps:wsp>
                        <wps:cNvCnPr/>
                        <wps:spPr>
                          <a:xfrm>
                            <a:off x="0" y="0"/>
                            <a:ext cx="5379617" cy="0"/>
                          </a:xfrm>
                          <a:prstGeom prst="line">
                            <a:avLst/>
                          </a:prstGeom>
                          <a:ln>
                            <a:solidFill>
                              <a:srgbClr val="8E602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2 Conector recto"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6.75pt" to="423.9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" strokecolor="#8e6022"/>
              </w:pict>
            </mc:Fallback>
          </mc:AlternateContent>
        </w:r>
        <w:r>
          <w:rPr>
            <w:rFonts w:ascii="Open Sans" w:hAnsi="Open Sans" w:cs="Open Sans"/>
            <w:noProof/>
            <w:sz w:val="20"/>
            <w:lang w:eastAsia="es-ES"/>
          </w:rPr>
          <w:t>Modelario</w:t>
        </w:r>
        <w:r>
          <w:rPr>
            <w:rFonts w:ascii="Open Sans" w:hAnsi="Open Sans" w:cs="Open Sans"/>
            <w:sz w:val="20"/>
          </w:rPr>
          <w:t xml:space="preserve"> de Ordenanzas Fiscales  </w:t>
        </w:r>
      </w:p>
      <w:p w:rsidR="00B364C2" w:rsidRPr="00F25CFB" w:rsidRDefault="00F25CFB" w:rsidP="00F25CFB">
        <w:pPr>
          <w:pStyle w:val="Piedepgina"/>
          <w:tabs>
            <w:tab w:val="clear" w:pos="4252"/>
            <w:tab w:val="clear" w:pos="8504"/>
            <w:tab w:val="left" w:pos="4739"/>
          </w:tabs>
          <w:jc w:val="center"/>
          <w:rPr>
            <w:rFonts w:ascii="Open Sans" w:hAnsi="Open Sans" w:cs="Open Sans"/>
            <w:sz w:val="18"/>
          </w:rPr>
        </w:pPr>
        <w:r w:rsidRPr="001F73E4">
          <w:rPr>
            <w:rFonts w:ascii="Open Sans" w:hAnsi="Open Sans" w:cs="Open Sans"/>
            <w:sz w:val="18"/>
          </w:rPr>
          <w:fldChar w:fldCharType="begin"/>
        </w:r>
        <w:r w:rsidRPr="001F73E4">
          <w:rPr>
            <w:rFonts w:ascii="Open Sans" w:hAnsi="Open Sans" w:cs="Open Sans"/>
            <w:sz w:val="18"/>
          </w:rPr>
          <w:instrText>PAGE   \* MERGEFORMAT</w:instrText>
        </w:r>
        <w:r w:rsidRPr="001F73E4">
          <w:rPr>
            <w:rFonts w:ascii="Open Sans" w:hAnsi="Open Sans" w:cs="Open Sans"/>
            <w:sz w:val="18"/>
          </w:rPr>
          <w:fldChar w:fldCharType="separate"/>
        </w:r>
        <w:r w:rsidR="00F4630B" w:rsidRPr="00F4630B">
          <w:rPr>
            <w:rFonts w:ascii="Open Sans" w:hAnsi="Open Sans" w:cs="Open Sans"/>
            <w:b/>
            <w:bCs/>
            <w:noProof/>
            <w:sz w:val="18"/>
          </w:rPr>
          <w:t>3</w:t>
        </w:r>
        <w:r w:rsidRPr="001F73E4">
          <w:rPr>
            <w:rFonts w:ascii="Open Sans" w:hAnsi="Open Sans" w:cs="Open Sans"/>
            <w:b/>
            <w:bCs/>
            <w:sz w:val="18"/>
          </w:rPr>
          <w:fldChar w:fldCharType="end"/>
        </w:r>
        <w:r w:rsidRPr="001F73E4">
          <w:rPr>
            <w:rFonts w:ascii="Open Sans" w:hAnsi="Open Sans" w:cs="Open Sans"/>
            <w:b/>
            <w:bCs/>
            <w:sz w:val="18"/>
          </w:rPr>
          <w:t xml:space="preserve"> </w:t>
        </w:r>
        <w:r w:rsidRPr="001F73E4">
          <w:rPr>
            <w:rFonts w:ascii="Open Sans" w:hAnsi="Open Sans" w:cs="Open Sans"/>
            <w:sz w:val="18"/>
          </w:rPr>
          <w:t>|</w:t>
        </w:r>
        <w:r w:rsidRPr="001F73E4">
          <w:rPr>
            <w:rFonts w:ascii="Open Sans" w:hAnsi="Open Sans" w:cs="Open Sans"/>
            <w:b/>
            <w:bCs/>
            <w:sz w:val="18"/>
          </w:rPr>
          <w:t xml:space="preserve"> </w:t>
        </w:r>
        <w:r w:rsidRPr="001F73E4">
          <w:rPr>
            <w:rFonts w:ascii="Open Sans" w:hAnsi="Open Sans" w:cs="Open Sans"/>
            <w:color w:val="808080" w:themeColor="background1" w:themeShade="80"/>
            <w:spacing w:val="60"/>
            <w:sz w:val="18"/>
          </w:rPr>
          <w:t>Página</w:t>
        </w:r>
      </w:p>
    </w:sdtContent>
  </w:sdt>
  <w:p w:rsidR="00B364C2" w:rsidRDefault="00B364C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693" w:rsidRDefault="00233693" w:rsidP="00B364C2">
      <w:pPr>
        <w:spacing w:after="0" w:line="240" w:lineRule="auto"/>
      </w:pPr>
      <w:r>
        <w:separator/>
      </w:r>
    </w:p>
  </w:footnote>
  <w:footnote w:type="continuationSeparator" w:id="0">
    <w:p w:rsidR="00233693" w:rsidRDefault="00233693" w:rsidP="00B364C2">
      <w:pPr>
        <w:spacing w:after="0" w:line="240" w:lineRule="auto"/>
      </w:pPr>
      <w:r>
        <w:continuationSeparator/>
      </w:r>
    </w:p>
  </w:footnote>
  <w:footnote w:id="1">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tiene potestad para fijar un tipo de gravamen de </w:t>
      </w:r>
      <w:r w:rsidRPr="000A6930">
        <w:rPr>
          <w:rFonts w:ascii="Open Sans" w:hAnsi="Open Sans" w:cs="Open Sans"/>
          <w:b/>
          <w:sz w:val="18"/>
          <w:szCs w:val="18"/>
        </w:rPr>
        <w:t>hasta el 4%.</w:t>
      </w:r>
    </w:p>
  </w:footnote>
  <w:footnote w:id="2">
    <w:p w:rsidR="006B1055" w:rsidRPr="000A6930" w:rsidRDefault="006B1055" w:rsidP="00F4630B">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Todas las bonificaciones relativas a este impuesto tienen carácter potestativo de imposición.</w:t>
      </w:r>
      <w:r w:rsidR="00F4630B" w:rsidRPr="00F4630B">
        <w:rPr>
          <w:rFonts w:ascii="Arial" w:hAnsi="Arial" w:cs="Arial"/>
          <w:color w:val="000000"/>
          <w:shd w:val="clear" w:color="auto" w:fill="FDFDFD"/>
        </w:rPr>
        <w:t xml:space="preserve"> </w:t>
      </w:r>
      <w:r w:rsidR="00F4630B">
        <w:rPr>
          <w:rFonts w:ascii="Arial" w:hAnsi="Arial" w:cs="Arial"/>
          <w:color w:val="000000"/>
          <w:shd w:val="clear" w:color="auto" w:fill="FDFDFD"/>
        </w:rPr>
        <w:t xml:space="preserve">Con carácter previo a la aprobación provisional de las ordenanzas fiscales que incluyan estas bonificaciones, será necesario consultar con este Organismo, sobre la viabilidad técnica para su implementación en los aplicativos existentes, así como la tramitación necesaria para su </w:t>
      </w:r>
      <w:r w:rsidR="00F4630B">
        <w:rPr>
          <w:rFonts w:ascii="Arial" w:hAnsi="Arial" w:cs="Arial"/>
          <w:color w:val="000000"/>
          <w:shd w:val="clear" w:color="auto" w:fill="FDFDFD"/>
        </w:rPr>
        <w:t>concesión</w:t>
      </w:r>
      <w:r w:rsidR="00F4630B">
        <w:rPr>
          <w:rFonts w:ascii="Arial" w:hAnsi="Arial" w:cs="Arial"/>
          <w:color w:val="000000"/>
          <w:shd w:val="clear" w:color="auto" w:fill="FDFDFD"/>
        </w:rPr>
        <w:t>.</w:t>
      </w:r>
      <w:bookmarkStart w:id="0" w:name="_GoBack"/>
      <w:bookmarkEnd w:id="0"/>
    </w:p>
  </w:footnote>
  <w:footnote w:id="3">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tiene potestad para fijar una bonificación de</w:t>
      </w:r>
      <w:r w:rsidRPr="000A6930">
        <w:rPr>
          <w:rFonts w:ascii="Open Sans" w:hAnsi="Open Sans" w:cs="Open Sans"/>
          <w:b/>
          <w:sz w:val="18"/>
          <w:szCs w:val="18"/>
        </w:rPr>
        <w:t xml:space="preserve"> hasta el 95%.</w:t>
      </w:r>
    </w:p>
  </w:footnote>
  <w:footnote w:id="4">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tiene potestad para fijar una bonificación de</w:t>
      </w:r>
      <w:r w:rsidRPr="000A6930">
        <w:rPr>
          <w:rFonts w:ascii="Open Sans" w:hAnsi="Open Sans" w:cs="Open Sans"/>
          <w:b/>
          <w:sz w:val="18"/>
          <w:szCs w:val="18"/>
        </w:rPr>
        <w:t xml:space="preserve"> hasta el 95%.</w:t>
      </w:r>
    </w:p>
  </w:footnote>
  <w:footnote w:id="5">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tiene potestad para fijar una bonificación de</w:t>
      </w:r>
      <w:r w:rsidRPr="000A6930">
        <w:rPr>
          <w:rFonts w:ascii="Open Sans" w:hAnsi="Open Sans" w:cs="Open Sans"/>
          <w:b/>
          <w:sz w:val="18"/>
          <w:szCs w:val="18"/>
        </w:rPr>
        <w:t xml:space="preserve"> hasta el 50%.</w:t>
      </w:r>
    </w:p>
  </w:footnote>
  <w:footnote w:id="6">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tiene potestad para fijar una bonificación de</w:t>
      </w:r>
      <w:r w:rsidRPr="000A6930">
        <w:rPr>
          <w:rFonts w:ascii="Open Sans" w:hAnsi="Open Sans" w:cs="Open Sans"/>
          <w:b/>
          <w:sz w:val="18"/>
          <w:szCs w:val="18"/>
        </w:rPr>
        <w:t xml:space="preserve"> hasta el 50%.</w:t>
      </w:r>
    </w:p>
  </w:footnote>
  <w:footnote w:id="7">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tiene potestad para fijar una bonificación de</w:t>
      </w:r>
      <w:r w:rsidRPr="000A6930">
        <w:rPr>
          <w:rFonts w:ascii="Open Sans" w:hAnsi="Open Sans" w:cs="Open Sans"/>
          <w:b/>
          <w:sz w:val="18"/>
          <w:szCs w:val="18"/>
        </w:rPr>
        <w:t xml:space="preserve"> hasta el 90%.</w:t>
      </w:r>
    </w:p>
  </w:footnote>
  <w:footnote w:id="8">
    <w:p w:rsidR="007C6A78" w:rsidRPr="000A6930" w:rsidRDefault="007C6A78" w:rsidP="007C6A78">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El Ayuntamiento tiene potestad para fijar una bonificación de</w:t>
      </w:r>
      <w:r w:rsidRPr="000A6930">
        <w:rPr>
          <w:rFonts w:ascii="Open Sans" w:hAnsi="Open Sans" w:cs="Open Sans"/>
          <w:b/>
          <w:sz w:val="18"/>
          <w:szCs w:val="18"/>
        </w:rPr>
        <w:t xml:space="preserve"> hasta el 90%.</w:t>
      </w:r>
    </w:p>
  </w:footnote>
  <w:footnote w:id="9">
    <w:p w:rsidR="006B1055" w:rsidRDefault="006B1055" w:rsidP="006B1055">
      <w:pPr>
        <w:spacing w:after="0" w:line="240" w:lineRule="auto"/>
        <w:jc w:val="both"/>
      </w:pPr>
      <w:r>
        <w:rPr>
          <w:rStyle w:val="Refdenotaalpie"/>
        </w:rPr>
        <w:footnoteRef/>
      </w:r>
      <w:r w:rsidRPr="00B43736">
        <w:rPr>
          <w:rFonts w:ascii="Open Sans" w:hAnsi="Open Sans" w:cs="Open Sans"/>
          <w:color w:val="000000"/>
          <w:sz w:val="18"/>
          <w:szCs w:val="18"/>
          <w:shd w:val="clear" w:color="auto" w:fill="FFFFFF"/>
        </w:rPr>
        <w:t xml:space="preserve">Además de las bonificaciones reflejadas en los epígrafes anteriores, el Ayuntamiento, de acuerdo con el artículo </w:t>
      </w:r>
      <w:r>
        <w:rPr>
          <w:rFonts w:ascii="Open Sans" w:hAnsi="Open Sans" w:cs="Open Sans"/>
          <w:color w:val="000000"/>
          <w:sz w:val="18"/>
          <w:szCs w:val="18"/>
          <w:shd w:val="clear" w:color="auto" w:fill="FFFFFF"/>
        </w:rPr>
        <w:t>88.2</w:t>
      </w:r>
      <w:r w:rsidRPr="00B43736">
        <w:rPr>
          <w:rFonts w:ascii="Open Sans" w:hAnsi="Open Sans" w:cs="Open Sans"/>
          <w:color w:val="000000"/>
          <w:sz w:val="18"/>
          <w:szCs w:val="18"/>
          <w:shd w:val="clear" w:color="auto" w:fill="FFFFFF"/>
        </w:rPr>
        <w:t xml:space="preserve"> del RD 2/2004, de 5 de marzo, podrá establecer también </w:t>
      </w:r>
      <w:r>
        <w:rPr>
          <w:rFonts w:ascii="Open Sans" w:hAnsi="Open Sans" w:cs="Open Sans"/>
          <w:color w:val="000000"/>
          <w:sz w:val="18"/>
          <w:szCs w:val="18"/>
          <w:shd w:val="clear" w:color="auto" w:fill="FFFFFF"/>
        </w:rPr>
        <w:t>la siguiente bonificación</w:t>
      </w:r>
      <w:r w:rsidRPr="00B43736">
        <w:rPr>
          <w:rFonts w:ascii="Open Sans" w:hAnsi="Open Sans" w:cs="Open Sans"/>
          <w:color w:val="000000"/>
          <w:sz w:val="18"/>
          <w:szCs w:val="18"/>
          <w:shd w:val="clear" w:color="auto" w:fill="FFFFFF"/>
        </w:rPr>
        <w:t>:</w:t>
      </w:r>
    </w:p>
    <w:p w:rsidR="006B1055" w:rsidRDefault="006B1055" w:rsidP="006B1055">
      <w:pPr>
        <w:pStyle w:val="Textonotapie"/>
        <w:jc w:val="both"/>
      </w:pPr>
      <w:r>
        <w:t xml:space="preserve">Bonificación de </w:t>
      </w:r>
      <w:r w:rsidRPr="00B43736">
        <w:t>hasta el 90%</w:t>
      </w:r>
      <w:r>
        <w:t xml:space="preserve"> </w:t>
      </w:r>
      <w:r w:rsidRPr="00B43736">
        <w:t>a favor de las construcciones, instalaciones u obras necesarias para la instalación de puntos de recarga para vehículos eléctricos. La aplicación de esta bonificación estará condicionada a que las instalaciones dispongan de la correspondiente homologación por la Administración competente</w:t>
      </w:r>
      <w:r>
        <w:t>.</w:t>
      </w:r>
    </w:p>
  </w:footnote>
  <w:footnote w:id="10">
    <w:p w:rsidR="006B1055" w:rsidRPr="000A6930" w:rsidRDefault="006B1055" w:rsidP="006B1055">
      <w:pPr>
        <w:pStyle w:val="Textonotapie"/>
        <w:jc w:val="both"/>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La regulación de este artículo se realiza conforme al régimen de declaración. No obstante, el Ayuntamiento, de acuerdo con lo previsto por el artículo 103.4 del TRLRHL, puede implantar el régimen de autoliquidación en el ICIO.</w:t>
      </w:r>
    </w:p>
  </w:footnote>
  <w:footnote w:id="11">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O autoliquidación en el caso de haberse acogido el Ayuntamiento a este régimen.</w:t>
      </w:r>
    </w:p>
  </w:footnote>
  <w:footnote w:id="12">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 xml:space="preserve">fecha </w:t>
      </w:r>
      <w:r>
        <w:rPr>
          <w:rFonts w:ascii="Open Sans" w:hAnsi="Open Sans" w:cs="Open Sans"/>
          <w:b/>
          <w:sz w:val="18"/>
          <w:szCs w:val="18"/>
        </w:rPr>
        <w:t>publicación en el BOP del acuerdo de delegación de competencias en el OAR</w:t>
      </w:r>
      <w:r w:rsidRPr="000A6930">
        <w:rPr>
          <w:rFonts w:ascii="Open Sans" w:hAnsi="Open Sans" w:cs="Open Sans"/>
          <w:sz w:val="18"/>
          <w:szCs w:val="18"/>
        </w:rPr>
        <w:t>.</w:t>
      </w:r>
    </w:p>
  </w:footnote>
  <w:footnote w:id="13">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celebración del Pleno</w:t>
      </w:r>
      <w:r w:rsidRPr="000A6930">
        <w:rPr>
          <w:rFonts w:ascii="Open Sans" w:hAnsi="Open Sans" w:cs="Open Sans"/>
          <w:sz w:val="18"/>
          <w:szCs w:val="18"/>
        </w:rPr>
        <w:t xml:space="preserve"> por el que se aprueba la presente O.F.</w:t>
      </w:r>
    </w:p>
  </w:footnote>
  <w:footnote w:id="14">
    <w:p w:rsidR="006B1055" w:rsidRPr="000A6930" w:rsidRDefault="006B1055" w:rsidP="006B1055">
      <w:pPr>
        <w:pStyle w:val="Textonotapie"/>
        <w:rPr>
          <w:rFonts w:ascii="Open Sans" w:hAnsi="Open Sans" w:cs="Open Sans"/>
          <w:sz w:val="18"/>
          <w:szCs w:val="18"/>
        </w:rPr>
      </w:pPr>
      <w:r w:rsidRPr="000A6930">
        <w:rPr>
          <w:rStyle w:val="Refdenotaalpie"/>
          <w:rFonts w:ascii="Open Sans" w:hAnsi="Open Sans" w:cs="Open Sans"/>
          <w:sz w:val="18"/>
          <w:szCs w:val="18"/>
        </w:rPr>
        <w:footnoteRef/>
      </w:r>
      <w:r w:rsidRPr="000A6930">
        <w:rPr>
          <w:rFonts w:ascii="Open Sans" w:hAnsi="Open Sans" w:cs="Open Sans"/>
          <w:sz w:val="18"/>
          <w:szCs w:val="18"/>
        </w:rPr>
        <w:t xml:space="preserve"> Insertar </w:t>
      </w:r>
      <w:r w:rsidRPr="000A6930">
        <w:rPr>
          <w:rFonts w:ascii="Open Sans" w:hAnsi="Open Sans" w:cs="Open Sans"/>
          <w:b/>
          <w:sz w:val="18"/>
          <w:szCs w:val="18"/>
        </w:rPr>
        <w:t>fecha de entrada en vigor</w:t>
      </w:r>
      <w:r w:rsidRPr="000A6930">
        <w:rPr>
          <w:rFonts w:ascii="Open Sans" w:hAnsi="Open Sans" w:cs="Open Sans"/>
          <w:sz w:val="18"/>
          <w:szCs w:val="18"/>
        </w:rPr>
        <w:t xml:space="preserve"> de la presente Ordenanza Fiscal.</w:t>
      </w:r>
    </w:p>
  </w:footnote>
  <w:footnote w:id="15">
    <w:p w:rsidR="006B1055" w:rsidRDefault="006B1055" w:rsidP="006B1055">
      <w:pPr>
        <w:pStyle w:val="Textonotapie"/>
      </w:pPr>
      <w:r>
        <w:rPr>
          <w:rStyle w:val="Refdenotaalpie"/>
        </w:rPr>
        <w:footnoteRef/>
      </w:r>
      <w:r>
        <w:t xml:space="preserve"> </w:t>
      </w:r>
      <w:r w:rsidRPr="00E83927">
        <w:rPr>
          <w:rFonts w:ascii="Open Sans" w:hAnsi="Open Sans" w:cs="Open Sans"/>
          <w:sz w:val="18"/>
          <w:szCs w:val="18"/>
        </w:rPr>
        <w:t>No obstante, desde el OAR se recomienda que cuando se modifiquen determinados artículos de la Ordenanza Fiscal, se proceda a publicar de nuevo el texto completo de la Ordenanza</w:t>
      </w:r>
      <w:r>
        <w:rPr>
          <w:rFonts w:ascii="Open Sans" w:hAnsi="Open Sans" w:cs="Open Sans"/>
          <w:sz w:val="18"/>
          <w:szCs w:val="18"/>
        </w:rPr>
        <w:t xml:space="preserve"> Fiscal reguladora del tributo</w:t>
      </w:r>
      <w:r w:rsidRPr="00E83927">
        <w:rPr>
          <w:rFonts w:ascii="Open Sans" w:hAnsi="Open Sans" w:cs="Open Sans"/>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64C2" w:rsidRPr="00B364C2" w:rsidRDefault="00B364C2" w:rsidP="00B364C2">
    <w:pPr>
      <w:pStyle w:val="Encabezado"/>
      <w:jc w:val="right"/>
      <w:rPr>
        <w:b/>
        <w:color w:val="7F7F7F" w:themeColor="text1" w:themeTint="80"/>
      </w:rPr>
    </w:pPr>
    <w:r w:rsidRPr="00B364C2">
      <w:rPr>
        <w:noProof/>
        <w:color w:val="7F7F7F" w:themeColor="text1" w:themeTint="80"/>
        <w:lang w:eastAsia="es-ES"/>
      </w:rPr>
      <w:drawing>
        <wp:anchor distT="0" distB="0" distL="114300" distR="114300" simplePos="0" relativeHeight="251658240" behindDoc="1" locked="0" layoutInCell="1" allowOverlap="1" wp14:anchorId="79CD10C5" wp14:editId="4B09576B">
          <wp:simplePos x="0" y="0"/>
          <wp:positionH relativeFrom="column">
            <wp:posOffset>-70485</wp:posOffset>
          </wp:positionH>
          <wp:positionV relativeFrom="paragraph">
            <wp:posOffset>-268605</wp:posOffset>
          </wp:positionV>
          <wp:extent cx="638175" cy="792217"/>
          <wp:effectExtent l="0" t="0" r="0" b="825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oar.png"/>
                  <pic:cNvPicPr/>
                </pic:nvPicPr>
                <pic:blipFill>
                  <a:blip r:embed="rId1">
                    <a:extLst>
                      <a:ext uri="{28A0092B-C50C-407E-A947-70E740481C1C}">
                        <a14:useLocalDpi xmlns:a14="http://schemas.microsoft.com/office/drawing/2010/main" val="0"/>
                      </a:ext>
                    </a:extLst>
                  </a:blip>
                  <a:stretch>
                    <a:fillRect/>
                  </a:stretch>
                </pic:blipFill>
                <pic:spPr>
                  <a:xfrm>
                    <a:off x="0" y="0"/>
                    <a:ext cx="638175" cy="792217"/>
                  </a:xfrm>
                  <a:prstGeom prst="rect">
                    <a:avLst/>
                  </a:prstGeom>
                </pic:spPr>
              </pic:pic>
            </a:graphicData>
          </a:graphic>
          <wp14:sizeRelH relativeFrom="page">
            <wp14:pctWidth>0</wp14:pctWidth>
          </wp14:sizeRelH>
          <wp14:sizeRelV relativeFrom="page">
            <wp14:pctHeight>0</wp14:pctHeight>
          </wp14:sizeRelV>
        </wp:anchor>
      </w:drawing>
    </w:r>
    <w:r w:rsidRPr="00B364C2">
      <w:rPr>
        <w:color w:val="7F7F7F" w:themeColor="text1" w:themeTint="80"/>
      </w:rPr>
      <w:t xml:space="preserve"> </w:t>
    </w:r>
    <w:r w:rsidRPr="00B364C2">
      <w:rPr>
        <w:b/>
        <w:color w:val="7F7F7F" w:themeColor="text1" w:themeTint="80"/>
      </w:rPr>
      <w:t xml:space="preserve">MODELO ORDENANZA FISCAL </w:t>
    </w:r>
  </w:p>
  <w:p w:rsidR="00B364C2" w:rsidRPr="00B364C2" w:rsidRDefault="00B364C2" w:rsidP="00B364C2">
    <w:pPr>
      <w:pStyle w:val="Encabezado"/>
      <w:jc w:val="right"/>
      <w:rPr>
        <w:b/>
        <w:color w:val="7F7F7F" w:themeColor="text1" w:themeTint="80"/>
      </w:rPr>
    </w:pPr>
    <w:r w:rsidRPr="00B364C2">
      <w:rPr>
        <w:b/>
        <w:color w:val="7F7F7F" w:themeColor="text1" w:themeTint="80"/>
      </w:rPr>
      <w:t xml:space="preserve">IMPUESTO SOBRE </w:t>
    </w:r>
    <w:r w:rsidR="006B1055">
      <w:rPr>
        <w:b/>
        <w:color w:val="7F7F7F" w:themeColor="text1" w:themeTint="80"/>
      </w:rPr>
      <w:t>CONSTRUCCIONES, INSTALACIONES Y OBRAS</w:t>
    </w:r>
  </w:p>
  <w:p w:rsidR="00B364C2" w:rsidRDefault="00B364C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717AB"/>
    <w:multiLevelType w:val="hybridMultilevel"/>
    <w:tmpl w:val="2FCE5F9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AB87338"/>
    <w:multiLevelType w:val="hybridMultilevel"/>
    <w:tmpl w:val="DA56CD3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0EF32AE3"/>
    <w:multiLevelType w:val="hybridMultilevel"/>
    <w:tmpl w:val="E0B896B2"/>
    <w:lvl w:ilvl="0" w:tplc="64FA2FEC">
      <w:start w:val="4"/>
      <w:numFmt w:val="bullet"/>
      <w:lvlText w:val="-"/>
      <w:lvlJc w:val="left"/>
      <w:pPr>
        <w:ind w:left="1004" w:hanging="360"/>
      </w:pPr>
      <w:rPr>
        <w:rFonts w:ascii="Open Sans" w:eastAsiaTheme="minorHAnsi" w:hAnsi="Open Sans" w:cs="Open Sans" w:hint="default"/>
        <w:color w:val="auto"/>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3">
    <w:nsid w:val="10A667F1"/>
    <w:multiLevelType w:val="hybridMultilevel"/>
    <w:tmpl w:val="85BE6964"/>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114708B8"/>
    <w:multiLevelType w:val="hybridMultilevel"/>
    <w:tmpl w:val="448C44B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2AB6653"/>
    <w:multiLevelType w:val="hybridMultilevel"/>
    <w:tmpl w:val="8B001C7C"/>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6">
    <w:nsid w:val="173923CF"/>
    <w:multiLevelType w:val="hybridMultilevel"/>
    <w:tmpl w:val="7156801C"/>
    <w:lvl w:ilvl="0" w:tplc="3B42E3F8">
      <w:start w:val="1"/>
      <w:numFmt w:val="lowerLetter"/>
      <w:lvlText w:val="%1)"/>
      <w:lvlJc w:val="left"/>
      <w:pPr>
        <w:ind w:left="720" w:hanging="360"/>
      </w:pPr>
      <w:rPr>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1ACD65D7"/>
    <w:multiLevelType w:val="hybridMultilevel"/>
    <w:tmpl w:val="60564406"/>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8">
    <w:nsid w:val="1D8E10AD"/>
    <w:multiLevelType w:val="hybridMultilevel"/>
    <w:tmpl w:val="CEB6D12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F303C10"/>
    <w:multiLevelType w:val="hybridMultilevel"/>
    <w:tmpl w:val="15884120"/>
    <w:lvl w:ilvl="0" w:tplc="64FA2FEC">
      <w:start w:val="4"/>
      <w:numFmt w:val="bullet"/>
      <w:lvlText w:val="-"/>
      <w:lvlJc w:val="left"/>
      <w:pPr>
        <w:ind w:left="1068" w:hanging="360"/>
      </w:pPr>
      <w:rPr>
        <w:rFonts w:ascii="Open Sans" w:eastAsiaTheme="minorHAnsi" w:hAnsi="Open Sans" w:cs="Open Sans" w:hint="default"/>
        <w:color w:val="auto"/>
      </w:rPr>
    </w:lvl>
    <w:lvl w:ilvl="1" w:tplc="0C0A0019">
      <w:start w:val="1"/>
      <w:numFmt w:val="lowerLetter"/>
      <w:lvlText w:val="%2."/>
      <w:lvlJc w:val="left"/>
      <w:pPr>
        <w:ind w:left="1788" w:hanging="360"/>
      </w:pPr>
    </w:lvl>
    <w:lvl w:ilvl="2" w:tplc="C3DED856">
      <w:start w:val="1"/>
      <w:numFmt w:val="lowerLetter"/>
      <w:lvlText w:val="%3)"/>
      <w:lvlJc w:val="left"/>
      <w:pPr>
        <w:ind w:left="2688" w:hanging="360"/>
      </w:pPr>
      <w:rPr>
        <w:rFonts w:hint="default"/>
      </w:r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0">
    <w:nsid w:val="230C3068"/>
    <w:multiLevelType w:val="hybridMultilevel"/>
    <w:tmpl w:val="9EE4387C"/>
    <w:lvl w:ilvl="0" w:tplc="0278FFBA">
      <w:start w:val="4"/>
      <w:numFmt w:val="bullet"/>
      <w:lvlText w:val="-"/>
      <w:lvlJc w:val="left"/>
      <w:pPr>
        <w:ind w:left="720" w:hanging="360"/>
      </w:pPr>
      <w:rPr>
        <w:rFonts w:ascii="Open Sans" w:eastAsiaTheme="minorHAnsi" w:hAnsi="Open Sans" w:cs="Open San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2B371517"/>
    <w:multiLevelType w:val="hybridMultilevel"/>
    <w:tmpl w:val="966C3106"/>
    <w:lvl w:ilvl="0" w:tplc="64FA2FEC">
      <w:start w:val="4"/>
      <w:numFmt w:val="bullet"/>
      <w:lvlText w:val="-"/>
      <w:lvlJc w:val="left"/>
      <w:pPr>
        <w:ind w:left="720" w:hanging="360"/>
      </w:pPr>
      <w:rPr>
        <w:rFonts w:ascii="Open Sans" w:eastAsiaTheme="minorHAnsi" w:hAnsi="Open Sans" w:cs="Open Sans"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37127B68"/>
    <w:multiLevelType w:val="hybridMultilevel"/>
    <w:tmpl w:val="573C0A82"/>
    <w:lvl w:ilvl="0" w:tplc="82AEECA8">
      <w:start w:val="4"/>
      <w:numFmt w:val="bullet"/>
      <w:lvlText w:val="-"/>
      <w:lvlJc w:val="left"/>
      <w:pPr>
        <w:ind w:left="720" w:hanging="360"/>
      </w:pPr>
      <w:rPr>
        <w:rFonts w:ascii="Arial" w:eastAsiaTheme="minorHAnsi" w:hAnsi="Arial" w:cs="Arial" w:hint="default"/>
        <w:color w:val="auto"/>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3">
    <w:nsid w:val="3B1676F1"/>
    <w:multiLevelType w:val="hybridMultilevel"/>
    <w:tmpl w:val="984E6AD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nsid w:val="4ADD3603"/>
    <w:multiLevelType w:val="hybridMultilevel"/>
    <w:tmpl w:val="2D428DC8"/>
    <w:lvl w:ilvl="0" w:tplc="C7B890C4">
      <w:start w:val="1"/>
      <w:numFmt w:val="lowerLetter"/>
      <w:lvlText w:val="%1)"/>
      <w:lvlJc w:val="left"/>
      <w:pPr>
        <w:ind w:left="720" w:hanging="360"/>
      </w:pPr>
      <w:rPr>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nsid w:val="50EA6468"/>
    <w:multiLevelType w:val="hybridMultilevel"/>
    <w:tmpl w:val="93DE399E"/>
    <w:lvl w:ilvl="0" w:tplc="E612CAE8">
      <w:start w:val="4"/>
      <w:numFmt w:val="bullet"/>
      <w:lvlText w:val="-"/>
      <w:lvlJc w:val="left"/>
      <w:pPr>
        <w:ind w:left="720" w:hanging="360"/>
      </w:pPr>
      <w:rPr>
        <w:rFonts w:ascii="Open Sans" w:eastAsiaTheme="minorHAnsi" w:hAnsi="Open Sans" w:cs="Open Sans" w:hint="default"/>
        <w:color w:val="9BBB5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1933043"/>
    <w:multiLevelType w:val="hybridMultilevel"/>
    <w:tmpl w:val="72662216"/>
    <w:lvl w:ilvl="0" w:tplc="0C0A0003">
      <w:start w:val="1"/>
      <w:numFmt w:val="bullet"/>
      <w:lvlText w:val="o"/>
      <w:lvlJc w:val="left"/>
      <w:pPr>
        <w:ind w:left="1428" w:hanging="360"/>
      </w:pPr>
      <w:rPr>
        <w:rFonts w:ascii="Courier New" w:hAnsi="Courier New" w:cs="Courier New" w:hint="default"/>
      </w:rPr>
    </w:lvl>
    <w:lvl w:ilvl="1" w:tplc="0C0A0003" w:tentative="1">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17">
    <w:nsid w:val="534005F3"/>
    <w:multiLevelType w:val="hybridMultilevel"/>
    <w:tmpl w:val="E2A8E45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5E0A5CFD"/>
    <w:multiLevelType w:val="hybridMultilevel"/>
    <w:tmpl w:val="5D061B36"/>
    <w:lvl w:ilvl="0" w:tplc="9D205894">
      <w:start w:val="1"/>
      <w:numFmt w:val="lowerLetter"/>
      <w:lvlText w:val="%1.)"/>
      <w:lvlJc w:val="left"/>
      <w:pPr>
        <w:ind w:left="1068" w:hanging="360"/>
      </w:pPr>
      <w:rPr>
        <w:rFonts w:hint="default"/>
      </w:rPr>
    </w:lvl>
    <w:lvl w:ilvl="1" w:tplc="410492F6">
      <w:start w:val="1"/>
      <w:numFmt w:val="lowerLetter"/>
      <w:lvlText w:val="%2)"/>
      <w:lvlJc w:val="left"/>
      <w:pPr>
        <w:ind w:left="1788" w:hanging="360"/>
      </w:pPr>
      <w:rPr>
        <w:rFonts w:hint="default"/>
      </w:r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19">
    <w:nsid w:val="631D267C"/>
    <w:multiLevelType w:val="hybridMultilevel"/>
    <w:tmpl w:val="5810B160"/>
    <w:lvl w:ilvl="0" w:tplc="64FA2FEC">
      <w:start w:val="4"/>
      <w:numFmt w:val="bullet"/>
      <w:lvlText w:val="-"/>
      <w:lvlJc w:val="left"/>
      <w:pPr>
        <w:ind w:left="1068" w:hanging="360"/>
      </w:pPr>
      <w:rPr>
        <w:rFonts w:ascii="Open Sans" w:eastAsiaTheme="minorHAnsi" w:hAnsi="Open Sans" w:cs="Open Sans" w:hint="default"/>
        <w:color w:val="auto"/>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0">
    <w:nsid w:val="63E22CA9"/>
    <w:multiLevelType w:val="hybridMultilevel"/>
    <w:tmpl w:val="BF189BD2"/>
    <w:lvl w:ilvl="0" w:tplc="64FA2FEC">
      <w:start w:val="4"/>
      <w:numFmt w:val="bullet"/>
      <w:lvlText w:val="-"/>
      <w:lvlJc w:val="left"/>
      <w:pPr>
        <w:ind w:left="720" w:hanging="360"/>
      </w:pPr>
      <w:rPr>
        <w:rFonts w:ascii="Open Sans" w:eastAsiaTheme="minorHAnsi" w:hAnsi="Open Sans" w:cs="Open Sans" w:hint="default"/>
        <w:color w:val="auto"/>
      </w:rPr>
    </w:lvl>
    <w:lvl w:ilvl="1" w:tplc="64FA2FEC">
      <w:start w:val="4"/>
      <w:numFmt w:val="bullet"/>
      <w:lvlText w:val="-"/>
      <w:lvlJc w:val="left"/>
      <w:pPr>
        <w:ind w:left="1440" w:hanging="360"/>
      </w:pPr>
      <w:rPr>
        <w:rFonts w:ascii="Open Sans" w:eastAsiaTheme="minorHAnsi" w:hAnsi="Open Sans" w:cs="Open Sans"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7D06D52"/>
    <w:multiLevelType w:val="hybridMultilevel"/>
    <w:tmpl w:val="49EC5378"/>
    <w:lvl w:ilvl="0" w:tplc="64FA2FEC">
      <w:start w:val="4"/>
      <w:numFmt w:val="bullet"/>
      <w:lvlText w:val="-"/>
      <w:lvlJc w:val="left"/>
      <w:pPr>
        <w:ind w:left="1080" w:hanging="360"/>
      </w:pPr>
      <w:rPr>
        <w:rFonts w:ascii="Open Sans" w:eastAsiaTheme="minorHAnsi" w:hAnsi="Open Sans" w:cs="Open Sans" w:hint="default"/>
        <w:color w:val="auto"/>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nsid w:val="6C8D347A"/>
    <w:multiLevelType w:val="hybridMultilevel"/>
    <w:tmpl w:val="EF16A0B4"/>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nsid w:val="6FEF62FD"/>
    <w:multiLevelType w:val="hybridMultilevel"/>
    <w:tmpl w:val="880E21D2"/>
    <w:lvl w:ilvl="0" w:tplc="64FA2FEC">
      <w:start w:val="4"/>
      <w:numFmt w:val="bullet"/>
      <w:lvlText w:val="-"/>
      <w:lvlJc w:val="left"/>
      <w:pPr>
        <w:ind w:left="720" w:hanging="360"/>
      </w:pPr>
      <w:rPr>
        <w:rFonts w:ascii="Open Sans" w:eastAsiaTheme="minorHAnsi" w:hAnsi="Open Sans" w:cs="Open Sans" w:hint="default"/>
        <w:color w:val="auto"/>
      </w:rPr>
    </w:lvl>
    <w:lvl w:ilvl="1" w:tplc="82AEECA8">
      <w:start w:val="4"/>
      <w:numFmt w:val="bullet"/>
      <w:lvlText w:val="-"/>
      <w:lvlJc w:val="left"/>
      <w:pPr>
        <w:ind w:left="1440" w:hanging="360"/>
      </w:pPr>
      <w:rPr>
        <w:rFonts w:ascii="Arial" w:eastAsiaTheme="minorHAnsi" w:hAnsi="Arial" w:cs="Arial" w:hint="default"/>
        <w:color w:val="auto"/>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nsid w:val="75DB232B"/>
    <w:multiLevelType w:val="hybridMultilevel"/>
    <w:tmpl w:val="FF2E40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78121B43"/>
    <w:multiLevelType w:val="hybridMultilevel"/>
    <w:tmpl w:val="30EE7240"/>
    <w:lvl w:ilvl="0" w:tplc="0C0A0003">
      <w:start w:val="1"/>
      <w:numFmt w:val="bullet"/>
      <w:lvlText w:val="o"/>
      <w:lvlJc w:val="left"/>
      <w:pPr>
        <w:ind w:left="1068" w:hanging="360"/>
      </w:pPr>
      <w:rPr>
        <w:rFonts w:ascii="Courier New" w:hAnsi="Courier New" w:cs="Courier New"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26">
    <w:nsid w:val="7A6A75FF"/>
    <w:multiLevelType w:val="hybridMultilevel"/>
    <w:tmpl w:val="FCCE3066"/>
    <w:lvl w:ilvl="0" w:tplc="0F86E89A">
      <w:start w:val="1"/>
      <w:numFmt w:val="lowerLetter"/>
      <w:lvlText w:val="%1)"/>
      <w:lvlJc w:val="left"/>
      <w:pPr>
        <w:ind w:left="720" w:hanging="360"/>
      </w:pPr>
      <w:rPr>
        <w:strike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2"/>
  </w:num>
  <w:num w:numId="2">
    <w:abstractNumId w:val="1"/>
  </w:num>
  <w:num w:numId="3">
    <w:abstractNumId w:val="13"/>
  </w:num>
  <w:num w:numId="4">
    <w:abstractNumId w:val="20"/>
  </w:num>
  <w:num w:numId="5">
    <w:abstractNumId w:val="14"/>
  </w:num>
  <w:num w:numId="6">
    <w:abstractNumId w:val="3"/>
  </w:num>
  <w:num w:numId="7">
    <w:abstractNumId w:val="8"/>
  </w:num>
  <w:num w:numId="8">
    <w:abstractNumId w:val="6"/>
  </w:num>
  <w:num w:numId="9">
    <w:abstractNumId w:val="25"/>
  </w:num>
  <w:num w:numId="10">
    <w:abstractNumId w:val="11"/>
  </w:num>
  <w:num w:numId="11">
    <w:abstractNumId w:val="0"/>
  </w:num>
  <w:num w:numId="12">
    <w:abstractNumId w:val="9"/>
  </w:num>
  <w:num w:numId="13">
    <w:abstractNumId w:val="5"/>
  </w:num>
  <w:num w:numId="14">
    <w:abstractNumId w:val="16"/>
  </w:num>
  <w:num w:numId="15">
    <w:abstractNumId w:val="26"/>
  </w:num>
  <w:num w:numId="16">
    <w:abstractNumId w:val="7"/>
  </w:num>
  <w:num w:numId="17">
    <w:abstractNumId w:val="21"/>
  </w:num>
  <w:num w:numId="18">
    <w:abstractNumId w:val="23"/>
  </w:num>
  <w:num w:numId="19">
    <w:abstractNumId w:val="19"/>
  </w:num>
  <w:num w:numId="20">
    <w:abstractNumId w:val="17"/>
  </w:num>
  <w:num w:numId="21">
    <w:abstractNumId w:val="18"/>
  </w:num>
  <w:num w:numId="22">
    <w:abstractNumId w:val="24"/>
  </w:num>
  <w:num w:numId="23">
    <w:abstractNumId w:val="22"/>
  </w:num>
  <w:num w:numId="24">
    <w:abstractNumId w:val="15"/>
  </w:num>
  <w:num w:numId="25">
    <w:abstractNumId w:val="10"/>
  </w:num>
  <w:num w:numId="26">
    <w:abstractNumId w:val="4"/>
  </w:num>
  <w:num w:numId="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4C2"/>
    <w:rsid w:val="00233693"/>
    <w:rsid w:val="003B474D"/>
    <w:rsid w:val="005E0A2A"/>
    <w:rsid w:val="006B1055"/>
    <w:rsid w:val="00750F29"/>
    <w:rsid w:val="007C6A78"/>
    <w:rsid w:val="00B364C2"/>
    <w:rsid w:val="00C67F51"/>
    <w:rsid w:val="00E8214F"/>
    <w:rsid w:val="00E96778"/>
    <w:rsid w:val="00EC344C"/>
    <w:rsid w:val="00F25CFB"/>
    <w:rsid w:val="00F4630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55"/>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 w:type="paragraph" w:customStyle="1" w:styleId="CM6">
    <w:name w:val="CM6"/>
    <w:basedOn w:val="Normal"/>
    <w:next w:val="Normal"/>
    <w:link w:val="CM6Car"/>
    <w:uiPriority w:val="99"/>
    <w:rsid w:val="006B1055"/>
    <w:pPr>
      <w:widowControl w:val="0"/>
      <w:autoSpaceDE w:val="0"/>
      <w:autoSpaceDN w:val="0"/>
      <w:adjustRightInd w:val="0"/>
      <w:spacing w:after="0" w:line="240" w:lineRule="auto"/>
    </w:pPr>
    <w:rPr>
      <w:rFonts w:ascii="29rjnhxjjskdbzv" w:eastAsiaTheme="minorEastAsia" w:hAnsi="29rjnhxjjskdbzv"/>
      <w:sz w:val="24"/>
      <w:szCs w:val="24"/>
      <w:lang w:eastAsia="es-ES"/>
    </w:rPr>
  </w:style>
  <w:style w:type="paragraph" w:customStyle="1" w:styleId="Estilo2">
    <w:name w:val="Estilo2"/>
    <w:basedOn w:val="Normal"/>
    <w:link w:val="Estilo2Car"/>
    <w:qFormat/>
    <w:rsid w:val="006B1055"/>
    <w:pPr>
      <w:jc w:val="both"/>
    </w:pPr>
    <w:rPr>
      <w:rFonts w:ascii="Open Sans" w:hAnsi="Open Sans" w:cs="Open Sans"/>
      <w:b/>
      <w:color w:val="000000"/>
      <w:sz w:val="20"/>
      <w:szCs w:val="20"/>
    </w:rPr>
  </w:style>
  <w:style w:type="character" w:customStyle="1" w:styleId="CM6Car">
    <w:name w:val="CM6 Car"/>
    <w:basedOn w:val="Fuentedeprrafopredeter"/>
    <w:link w:val="CM6"/>
    <w:uiPriority w:val="99"/>
    <w:rsid w:val="006B1055"/>
    <w:rPr>
      <w:rFonts w:ascii="29rjnhxjjskdbzv" w:eastAsiaTheme="minorEastAsia" w:hAnsi="29rjnhxjjskdbzv"/>
      <w:sz w:val="24"/>
      <w:szCs w:val="24"/>
      <w:lang w:eastAsia="es-ES"/>
    </w:rPr>
  </w:style>
  <w:style w:type="character" w:customStyle="1" w:styleId="Estilo2Car">
    <w:name w:val="Estilo2 Car"/>
    <w:basedOn w:val="Fuentedeprrafopredeter"/>
    <w:link w:val="Estilo2"/>
    <w:rsid w:val="006B1055"/>
    <w:rPr>
      <w:rFonts w:ascii="Open Sans" w:hAnsi="Open Sans" w:cs="Open Sans"/>
      <w:b/>
      <w:color w:val="000000"/>
      <w:sz w:val="20"/>
      <w:szCs w:val="20"/>
    </w:rPr>
  </w:style>
  <w:style w:type="paragraph" w:customStyle="1" w:styleId="al-justificada">
    <w:name w:val="al-justificada"/>
    <w:basedOn w:val="Normal"/>
    <w:rsid w:val="006B10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055"/>
  </w:style>
  <w:style w:type="paragraph" w:styleId="Ttulo1">
    <w:name w:val="heading 1"/>
    <w:basedOn w:val="Normal"/>
    <w:next w:val="Normal"/>
    <w:link w:val="Ttulo1Car"/>
    <w:uiPriority w:val="9"/>
    <w:qFormat/>
    <w:rsid w:val="00B364C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64C2"/>
    <w:rPr>
      <w:rFonts w:asciiTheme="majorHAnsi" w:eastAsiaTheme="majorEastAsia" w:hAnsiTheme="majorHAnsi" w:cstheme="majorBidi"/>
      <w:b/>
      <w:bCs/>
      <w:color w:val="365F91" w:themeColor="accent1" w:themeShade="BF"/>
      <w:sz w:val="28"/>
      <w:szCs w:val="28"/>
    </w:rPr>
  </w:style>
  <w:style w:type="paragraph" w:styleId="Prrafodelista">
    <w:name w:val="List Paragraph"/>
    <w:basedOn w:val="Normal"/>
    <w:uiPriority w:val="34"/>
    <w:qFormat/>
    <w:rsid w:val="00B364C2"/>
    <w:pPr>
      <w:ind w:left="720"/>
      <w:contextualSpacing/>
    </w:pPr>
  </w:style>
  <w:style w:type="paragraph" w:styleId="Textonotapie">
    <w:name w:val="footnote text"/>
    <w:basedOn w:val="Normal"/>
    <w:link w:val="TextonotapieCar"/>
    <w:uiPriority w:val="99"/>
    <w:semiHidden/>
    <w:unhideWhenUsed/>
    <w:rsid w:val="00B364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364C2"/>
    <w:rPr>
      <w:sz w:val="20"/>
      <w:szCs w:val="20"/>
    </w:rPr>
  </w:style>
  <w:style w:type="character" w:styleId="Refdenotaalpie">
    <w:name w:val="footnote reference"/>
    <w:basedOn w:val="Fuentedeprrafopredeter"/>
    <w:unhideWhenUsed/>
    <w:rsid w:val="00B364C2"/>
    <w:rPr>
      <w:vertAlign w:val="superscript"/>
    </w:rPr>
  </w:style>
  <w:style w:type="table" w:styleId="Cuadrculamedia3-nfasis2">
    <w:name w:val="Medium Grid 3 Accent 2"/>
    <w:basedOn w:val="Tablanormal"/>
    <w:uiPriority w:val="69"/>
    <w:rsid w:val="00B364C2"/>
    <w:pPr>
      <w:spacing w:after="0" w:line="240" w:lineRule="auto"/>
    </w:pPr>
    <w:rPr>
      <w:lang w:val="es-ES_tradnl"/>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ombreadomedio1-nfasis2">
    <w:name w:val="Medium Shading 1 Accent 2"/>
    <w:basedOn w:val="Tablanormal"/>
    <w:uiPriority w:val="63"/>
    <w:rsid w:val="00B364C2"/>
    <w:pPr>
      <w:spacing w:after="0" w:line="240" w:lineRule="auto"/>
    </w:pPr>
    <w:rPr>
      <w:lang w:val="es-ES_tradnl"/>
    </w:r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paragraph" w:styleId="Encabezado">
    <w:name w:val="header"/>
    <w:basedOn w:val="Normal"/>
    <w:link w:val="EncabezadoCar"/>
    <w:uiPriority w:val="99"/>
    <w:unhideWhenUsed/>
    <w:rsid w:val="00B364C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364C2"/>
  </w:style>
  <w:style w:type="paragraph" w:styleId="Piedepgina">
    <w:name w:val="footer"/>
    <w:basedOn w:val="Normal"/>
    <w:link w:val="PiedepginaCar"/>
    <w:uiPriority w:val="99"/>
    <w:unhideWhenUsed/>
    <w:rsid w:val="00B364C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364C2"/>
  </w:style>
  <w:style w:type="paragraph" w:styleId="Textodeglobo">
    <w:name w:val="Balloon Text"/>
    <w:basedOn w:val="Normal"/>
    <w:link w:val="TextodegloboCar"/>
    <w:uiPriority w:val="99"/>
    <w:semiHidden/>
    <w:unhideWhenUsed/>
    <w:rsid w:val="00B364C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364C2"/>
    <w:rPr>
      <w:rFonts w:ascii="Tahoma" w:hAnsi="Tahoma" w:cs="Tahoma"/>
      <w:sz w:val="16"/>
      <w:szCs w:val="16"/>
    </w:rPr>
  </w:style>
  <w:style w:type="paragraph" w:customStyle="1" w:styleId="CM6">
    <w:name w:val="CM6"/>
    <w:basedOn w:val="Normal"/>
    <w:next w:val="Normal"/>
    <w:link w:val="CM6Car"/>
    <w:uiPriority w:val="99"/>
    <w:rsid w:val="006B1055"/>
    <w:pPr>
      <w:widowControl w:val="0"/>
      <w:autoSpaceDE w:val="0"/>
      <w:autoSpaceDN w:val="0"/>
      <w:adjustRightInd w:val="0"/>
      <w:spacing w:after="0" w:line="240" w:lineRule="auto"/>
    </w:pPr>
    <w:rPr>
      <w:rFonts w:ascii="29rjnhxjjskdbzv" w:eastAsiaTheme="minorEastAsia" w:hAnsi="29rjnhxjjskdbzv"/>
      <w:sz w:val="24"/>
      <w:szCs w:val="24"/>
      <w:lang w:eastAsia="es-ES"/>
    </w:rPr>
  </w:style>
  <w:style w:type="paragraph" w:customStyle="1" w:styleId="Estilo2">
    <w:name w:val="Estilo2"/>
    <w:basedOn w:val="Normal"/>
    <w:link w:val="Estilo2Car"/>
    <w:qFormat/>
    <w:rsid w:val="006B1055"/>
    <w:pPr>
      <w:jc w:val="both"/>
    </w:pPr>
    <w:rPr>
      <w:rFonts w:ascii="Open Sans" w:hAnsi="Open Sans" w:cs="Open Sans"/>
      <w:b/>
      <w:color w:val="000000"/>
      <w:sz w:val="20"/>
      <w:szCs w:val="20"/>
    </w:rPr>
  </w:style>
  <w:style w:type="character" w:customStyle="1" w:styleId="CM6Car">
    <w:name w:val="CM6 Car"/>
    <w:basedOn w:val="Fuentedeprrafopredeter"/>
    <w:link w:val="CM6"/>
    <w:uiPriority w:val="99"/>
    <w:rsid w:val="006B1055"/>
    <w:rPr>
      <w:rFonts w:ascii="29rjnhxjjskdbzv" w:eastAsiaTheme="minorEastAsia" w:hAnsi="29rjnhxjjskdbzv"/>
      <w:sz w:val="24"/>
      <w:szCs w:val="24"/>
      <w:lang w:eastAsia="es-ES"/>
    </w:rPr>
  </w:style>
  <w:style w:type="character" w:customStyle="1" w:styleId="Estilo2Car">
    <w:name w:val="Estilo2 Car"/>
    <w:basedOn w:val="Fuentedeprrafopredeter"/>
    <w:link w:val="Estilo2"/>
    <w:rsid w:val="006B1055"/>
    <w:rPr>
      <w:rFonts w:ascii="Open Sans" w:hAnsi="Open Sans" w:cs="Open Sans"/>
      <w:b/>
      <w:color w:val="000000"/>
      <w:sz w:val="20"/>
      <w:szCs w:val="20"/>
    </w:rPr>
  </w:style>
  <w:style w:type="paragraph" w:customStyle="1" w:styleId="al-justificada">
    <w:name w:val="al-justificada"/>
    <w:basedOn w:val="Normal"/>
    <w:rsid w:val="006B1055"/>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002D8E-7A26-4DAD-835D-5D929ABE5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2645</Words>
  <Characters>14551</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Mª Rocío Sillero Carrasco</dc:creator>
  <cp:lastModifiedBy>Jesús M. Berrocal Rangel</cp:lastModifiedBy>
  <cp:revision>3</cp:revision>
  <dcterms:created xsi:type="dcterms:W3CDTF">2024-11-28T12:14:00Z</dcterms:created>
  <dcterms:modified xsi:type="dcterms:W3CDTF">2024-12-04T10:56:00Z</dcterms:modified>
</cp:coreProperties>
</file>